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16F" w:rsidRDefault="00A839F8" w:rsidP="00FC68E4">
      <w:pPr>
        <w:pStyle w:val="ListParagraph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 w:rsidRPr="00A839F8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 </w:t>
      </w:r>
    </w:p>
    <w:p w:rsidR="00FC68E4" w:rsidRDefault="00FC68E4" w:rsidP="00FC68E4">
      <w:pPr>
        <w:pStyle w:val="ListParagraph"/>
        <w:spacing w:after="0"/>
        <w:ind w:left="0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t>Post-TPIAT</w:t>
      </w:r>
      <w:r w:rsidR="00007084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 (total pancreatectomy with islet </w:t>
      </w:r>
      <w:proofErr w:type="spellStart"/>
      <w:r w:rsidR="00007084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autotransplantation</w:t>
      </w:r>
      <w:proofErr w:type="spellEnd"/>
      <w:r w:rsidR="00007084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)</w:t>
      </w: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 patients </w:t>
      </w:r>
      <w:r w:rsidR="006F76B6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are asplenic and at risk for overwhelming post-splenectomy infection (OPSI). They </w:t>
      </w: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should be seen by a medical provider and treated immediately with antibiotics at the earliest sign of sepsis. It is also important to seek immediate treatment in the event of </w:t>
      </w:r>
      <w:r w:rsidR="006F76B6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any </w:t>
      </w: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animal bite, including dogs. </w:t>
      </w:r>
    </w:p>
    <w:p w:rsidR="00FC68E4" w:rsidRDefault="00FC68E4" w:rsidP="00FC68E4">
      <w:pPr>
        <w:pStyle w:val="ListParagraph"/>
        <w:spacing w:after="0"/>
        <w:ind w:left="0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</w:p>
    <w:p w:rsidR="00FC68E4" w:rsidRDefault="00FC68E4" w:rsidP="00FC68E4">
      <w:pPr>
        <w:pStyle w:val="ListParagraph"/>
        <w:spacing w:after="0"/>
        <w:ind w:left="0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t>Signs of sepsis may include:</w:t>
      </w:r>
    </w:p>
    <w:p w:rsidR="00FC68E4" w:rsidRDefault="00FC68E4" w:rsidP="00FC68E4">
      <w:pPr>
        <w:pStyle w:val="ListParagraph"/>
        <w:numPr>
          <w:ilvl w:val="0"/>
          <w:numId w:val="8"/>
        </w:numPr>
        <w:spacing w:after="0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t>Fever equal to or greater than 38C or 100.4F</w:t>
      </w:r>
    </w:p>
    <w:p w:rsidR="00FC68E4" w:rsidRDefault="00FC68E4" w:rsidP="00FC68E4">
      <w:pPr>
        <w:pStyle w:val="ListParagraph"/>
        <w:numPr>
          <w:ilvl w:val="0"/>
          <w:numId w:val="8"/>
        </w:numPr>
        <w:spacing w:after="0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t>Chills and/or shivering</w:t>
      </w:r>
    </w:p>
    <w:p w:rsidR="00FC68E4" w:rsidRDefault="00FC68E4" w:rsidP="00FC68E4">
      <w:pPr>
        <w:pStyle w:val="ListParagraph"/>
        <w:numPr>
          <w:ilvl w:val="0"/>
          <w:numId w:val="8"/>
        </w:numPr>
        <w:spacing w:after="0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t>Headache</w:t>
      </w:r>
    </w:p>
    <w:p w:rsidR="00FC68E4" w:rsidRDefault="00FC68E4" w:rsidP="00FC68E4">
      <w:pPr>
        <w:pStyle w:val="ListParagraph"/>
        <w:numPr>
          <w:ilvl w:val="0"/>
          <w:numId w:val="8"/>
        </w:numPr>
        <w:spacing w:after="0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t>Drowsiness/confusion</w:t>
      </w:r>
    </w:p>
    <w:p w:rsidR="00FC68E4" w:rsidRDefault="00FC68E4" w:rsidP="00FC68E4">
      <w:pPr>
        <w:pStyle w:val="ListParagraph"/>
        <w:numPr>
          <w:ilvl w:val="0"/>
          <w:numId w:val="8"/>
        </w:numPr>
        <w:spacing w:after="0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t>Nausea/vomiting/diarrhea</w:t>
      </w:r>
    </w:p>
    <w:p w:rsidR="00FC68E4" w:rsidRDefault="00FC68E4" w:rsidP="00FC68E4">
      <w:pPr>
        <w:pStyle w:val="ListParagraph"/>
        <w:numPr>
          <w:ilvl w:val="0"/>
          <w:numId w:val="8"/>
        </w:numPr>
        <w:spacing w:after="0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t>Severe abdominal pain</w:t>
      </w:r>
    </w:p>
    <w:p w:rsidR="00FC68E4" w:rsidRDefault="00FC68E4" w:rsidP="00FC68E4">
      <w:pPr>
        <w:pStyle w:val="ListParagraph"/>
        <w:numPr>
          <w:ilvl w:val="0"/>
          <w:numId w:val="8"/>
        </w:numPr>
        <w:spacing w:after="0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t>Pinpoint purplish red spots on the skin or larger bluish bruises</w:t>
      </w:r>
    </w:p>
    <w:p w:rsidR="00FC68E4" w:rsidRDefault="00FC68E4" w:rsidP="00FC68E4">
      <w:pPr>
        <w:pStyle w:val="ListParagraph"/>
        <w:numPr>
          <w:ilvl w:val="0"/>
          <w:numId w:val="8"/>
        </w:numPr>
        <w:spacing w:after="0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t>Low blood pressure, lightheadedness, fainting</w:t>
      </w:r>
    </w:p>
    <w:p w:rsidR="00FC68E4" w:rsidRDefault="00FC68E4" w:rsidP="00FC68E4">
      <w:pPr>
        <w:spacing w:after="0"/>
        <w:rPr>
          <w:rStyle w:val="Hyperlink"/>
          <w:rFonts w:cs="Arial"/>
          <w:color w:val="auto"/>
          <w:szCs w:val="24"/>
          <w:u w:val="none"/>
        </w:rPr>
      </w:pPr>
    </w:p>
    <w:p w:rsidR="00120F90" w:rsidRDefault="00C33CF7" w:rsidP="00FC68E4">
      <w:pPr>
        <w:spacing w:after="0"/>
        <w:rPr>
          <w:rStyle w:val="Hyperlink"/>
          <w:rFonts w:cs="Arial"/>
          <w:color w:val="auto"/>
          <w:szCs w:val="24"/>
          <w:u w:val="none"/>
        </w:rPr>
      </w:pPr>
      <w:r>
        <w:rPr>
          <w:rStyle w:val="Hyperlink"/>
          <w:rFonts w:cs="Arial"/>
          <w:color w:val="auto"/>
          <w:szCs w:val="24"/>
          <w:u w:val="none"/>
        </w:rPr>
        <w:t>E</w:t>
      </w:r>
      <w:r w:rsidR="00FC68E4">
        <w:rPr>
          <w:rStyle w:val="Hyperlink"/>
          <w:rFonts w:cs="Arial"/>
          <w:color w:val="auto"/>
          <w:szCs w:val="24"/>
          <w:u w:val="none"/>
        </w:rPr>
        <w:t>valuation</w:t>
      </w:r>
      <w:r>
        <w:rPr>
          <w:rStyle w:val="Hyperlink"/>
          <w:rFonts w:cs="Arial"/>
          <w:color w:val="auto"/>
          <w:szCs w:val="24"/>
          <w:u w:val="none"/>
        </w:rPr>
        <w:t xml:space="preserve"> of the </w:t>
      </w:r>
      <w:r w:rsidR="00330686">
        <w:rPr>
          <w:rStyle w:val="Hyperlink"/>
          <w:rFonts w:cs="Arial"/>
          <w:color w:val="auto"/>
          <w:szCs w:val="24"/>
          <w:u w:val="none"/>
        </w:rPr>
        <w:t xml:space="preserve">outpatient </w:t>
      </w:r>
      <w:r>
        <w:rPr>
          <w:rStyle w:val="Hyperlink"/>
          <w:rFonts w:cs="Arial"/>
          <w:color w:val="auto"/>
          <w:szCs w:val="24"/>
          <w:u w:val="none"/>
        </w:rPr>
        <w:t xml:space="preserve">post-TPIAT patient </w:t>
      </w:r>
      <w:r w:rsidR="00FC68E4">
        <w:rPr>
          <w:rStyle w:val="Hyperlink"/>
          <w:rFonts w:cs="Arial"/>
          <w:color w:val="auto"/>
          <w:szCs w:val="24"/>
          <w:u w:val="none"/>
        </w:rPr>
        <w:t>with fever:</w:t>
      </w:r>
    </w:p>
    <w:p w:rsidR="00120F90" w:rsidRPr="00120F90" w:rsidRDefault="00120F90" w:rsidP="00120F90">
      <w:pPr>
        <w:spacing w:after="0"/>
        <w:rPr>
          <w:rStyle w:val="Hyperlink"/>
          <w:rFonts w:cs="Arial"/>
          <w:color w:val="auto"/>
          <w:szCs w:val="24"/>
          <w:u w:val="none"/>
        </w:rPr>
      </w:pPr>
      <w:r>
        <w:rPr>
          <w:rStyle w:val="Hyperlink"/>
          <w:rFonts w:cs="Arial"/>
          <w:color w:val="auto"/>
          <w:szCs w:val="24"/>
          <w:u w:val="none"/>
        </w:rPr>
        <w:tab/>
        <w:t xml:space="preserve">1. </w:t>
      </w:r>
      <w:r w:rsidRPr="00120F90">
        <w:rPr>
          <w:rStyle w:val="Hyperlink"/>
          <w:rFonts w:cs="Arial"/>
          <w:color w:val="auto"/>
          <w:szCs w:val="24"/>
          <w:u w:val="none"/>
        </w:rPr>
        <w:t xml:space="preserve">Emergent medical evaluation, peripheral blood cultures, central line cultures if </w:t>
      </w:r>
      <w:r>
        <w:rPr>
          <w:rStyle w:val="Hyperlink"/>
          <w:rFonts w:cs="Arial"/>
          <w:color w:val="auto"/>
          <w:szCs w:val="24"/>
          <w:u w:val="none"/>
        </w:rPr>
        <w:tab/>
        <w:t xml:space="preserve">  </w:t>
      </w:r>
      <w:r>
        <w:rPr>
          <w:rStyle w:val="Hyperlink"/>
          <w:rFonts w:cs="Arial"/>
          <w:color w:val="auto"/>
          <w:szCs w:val="24"/>
          <w:u w:val="none"/>
        </w:rPr>
        <w:tab/>
        <w:t xml:space="preserve">    </w:t>
      </w:r>
      <w:r w:rsidRPr="00120F90">
        <w:rPr>
          <w:rStyle w:val="Hyperlink"/>
          <w:rFonts w:cs="Arial"/>
          <w:color w:val="auto"/>
          <w:szCs w:val="24"/>
          <w:u w:val="none"/>
        </w:rPr>
        <w:t>applicable, and IV antibiotics</w:t>
      </w:r>
    </w:p>
    <w:p w:rsidR="00120F90" w:rsidRDefault="00120F90" w:rsidP="00120F90">
      <w:pPr>
        <w:spacing w:after="0"/>
        <w:rPr>
          <w:rStyle w:val="Hyperlink"/>
          <w:rFonts w:cs="Arial"/>
          <w:color w:val="auto"/>
          <w:szCs w:val="24"/>
          <w:u w:val="none"/>
        </w:rPr>
      </w:pPr>
      <w:bookmarkStart w:id="0" w:name="_GoBack"/>
      <w:bookmarkEnd w:id="0"/>
    </w:p>
    <w:p w:rsidR="00120F90" w:rsidRDefault="00C33CF7" w:rsidP="00120F90">
      <w:pPr>
        <w:spacing w:after="0"/>
        <w:rPr>
          <w:rStyle w:val="Hyperlink"/>
          <w:rFonts w:cs="Arial"/>
          <w:color w:val="auto"/>
          <w:szCs w:val="24"/>
          <w:u w:val="none"/>
        </w:rPr>
      </w:pPr>
      <w:r>
        <w:rPr>
          <w:rStyle w:val="Hyperlink"/>
          <w:rFonts w:cs="Arial"/>
          <w:color w:val="auto"/>
          <w:szCs w:val="24"/>
          <w:u w:val="none"/>
        </w:rPr>
        <w:t>Treatment and d</w:t>
      </w:r>
      <w:r w:rsidR="00120F90">
        <w:rPr>
          <w:rStyle w:val="Hyperlink"/>
          <w:rFonts w:cs="Arial"/>
          <w:color w:val="auto"/>
          <w:szCs w:val="24"/>
          <w:u w:val="none"/>
        </w:rPr>
        <w:t>isposition based on clinical assessment:</w:t>
      </w:r>
    </w:p>
    <w:p w:rsidR="00120F90" w:rsidRDefault="00120F90" w:rsidP="00120F90">
      <w:pPr>
        <w:spacing w:after="0"/>
        <w:rPr>
          <w:rStyle w:val="Hyperlink"/>
          <w:rFonts w:cs="Arial"/>
          <w:color w:val="auto"/>
          <w:szCs w:val="24"/>
          <w:u w:val="none"/>
        </w:rPr>
      </w:pPr>
      <w:r>
        <w:rPr>
          <w:rStyle w:val="Hyperlink"/>
          <w:rFonts w:cs="Arial"/>
          <w:color w:val="auto"/>
          <w:szCs w:val="24"/>
          <w:u w:val="none"/>
        </w:rPr>
        <w:tab/>
        <w:t>1. If th</w:t>
      </w:r>
      <w:r w:rsidR="00664E3E">
        <w:rPr>
          <w:rStyle w:val="Hyperlink"/>
          <w:rFonts w:cs="Arial"/>
          <w:color w:val="auto"/>
          <w:szCs w:val="24"/>
          <w:u w:val="none"/>
        </w:rPr>
        <w:t xml:space="preserve">e patient is well-appearing, </w:t>
      </w:r>
      <w:r>
        <w:rPr>
          <w:rStyle w:val="Hyperlink"/>
          <w:rFonts w:cs="Arial"/>
          <w:color w:val="auto"/>
          <w:szCs w:val="24"/>
          <w:u w:val="none"/>
        </w:rPr>
        <w:t>fully vaccinated and has reliable follow up:</w:t>
      </w:r>
    </w:p>
    <w:p w:rsidR="00C33CF7" w:rsidRDefault="00C33CF7" w:rsidP="00120F90">
      <w:pPr>
        <w:spacing w:after="0"/>
        <w:rPr>
          <w:rStyle w:val="Hyperlink"/>
          <w:rFonts w:cs="Arial"/>
          <w:color w:val="auto"/>
          <w:szCs w:val="24"/>
          <w:u w:val="none"/>
        </w:rPr>
      </w:pPr>
      <w:r>
        <w:rPr>
          <w:rStyle w:val="Hyperlink"/>
          <w:rFonts w:cs="Arial"/>
          <w:color w:val="auto"/>
          <w:szCs w:val="24"/>
          <w:u w:val="none"/>
        </w:rPr>
        <w:tab/>
      </w:r>
      <w:r>
        <w:rPr>
          <w:rStyle w:val="Hyperlink"/>
          <w:rFonts w:cs="Arial"/>
          <w:color w:val="auto"/>
          <w:szCs w:val="24"/>
          <w:u w:val="none"/>
        </w:rPr>
        <w:tab/>
        <w:t>a. Notify Pediatric Surgery Consult Resident on patient arrival</w:t>
      </w:r>
    </w:p>
    <w:p w:rsidR="00120F90" w:rsidRDefault="00120F90" w:rsidP="00120F90">
      <w:pPr>
        <w:spacing w:after="0"/>
        <w:rPr>
          <w:rStyle w:val="Hyperlink"/>
          <w:rFonts w:cs="Arial"/>
          <w:color w:val="auto"/>
          <w:szCs w:val="24"/>
          <w:u w:val="none"/>
        </w:rPr>
      </w:pPr>
      <w:r>
        <w:rPr>
          <w:rStyle w:val="Hyperlink"/>
          <w:rFonts w:cs="Arial"/>
          <w:color w:val="auto"/>
          <w:szCs w:val="24"/>
          <w:u w:val="none"/>
        </w:rPr>
        <w:tab/>
      </w:r>
      <w:r>
        <w:rPr>
          <w:rStyle w:val="Hyperlink"/>
          <w:rFonts w:cs="Arial"/>
          <w:color w:val="auto"/>
          <w:szCs w:val="24"/>
          <w:u w:val="none"/>
        </w:rPr>
        <w:tab/>
      </w:r>
      <w:r w:rsidR="00C33CF7">
        <w:rPr>
          <w:rStyle w:val="Hyperlink"/>
          <w:rFonts w:cs="Arial"/>
          <w:color w:val="auto"/>
          <w:szCs w:val="24"/>
          <w:u w:val="none"/>
        </w:rPr>
        <w:t>b</w:t>
      </w:r>
      <w:r>
        <w:rPr>
          <w:rStyle w:val="Hyperlink"/>
          <w:rFonts w:cs="Arial"/>
          <w:color w:val="auto"/>
          <w:szCs w:val="24"/>
          <w:u w:val="none"/>
        </w:rPr>
        <w:t>. Administer IV ceftriaxone 50 mg/kg (max dose 1000 mg) once</w:t>
      </w:r>
    </w:p>
    <w:p w:rsidR="00120F90" w:rsidRDefault="00120F90" w:rsidP="00120F90">
      <w:pPr>
        <w:spacing w:after="0"/>
        <w:rPr>
          <w:rStyle w:val="Hyperlink"/>
          <w:rFonts w:cs="Arial"/>
          <w:color w:val="auto"/>
          <w:szCs w:val="24"/>
          <w:u w:val="none"/>
        </w:rPr>
      </w:pPr>
      <w:r>
        <w:rPr>
          <w:rStyle w:val="Hyperlink"/>
          <w:rFonts w:cs="Arial"/>
          <w:color w:val="auto"/>
          <w:szCs w:val="24"/>
          <w:u w:val="none"/>
        </w:rPr>
        <w:tab/>
      </w:r>
      <w:r>
        <w:rPr>
          <w:rStyle w:val="Hyperlink"/>
          <w:rFonts w:cs="Arial"/>
          <w:color w:val="auto"/>
          <w:szCs w:val="24"/>
          <w:u w:val="none"/>
        </w:rPr>
        <w:tab/>
      </w:r>
      <w:r w:rsidR="00C33CF7">
        <w:rPr>
          <w:rStyle w:val="Hyperlink"/>
          <w:rFonts w:cs="Arial"/>
          <w:color w:val="auto"/>
          <w:szCs w:val="24"/>
          <w:u w:val="none"/>
        </w:rPr>
        <w:t>c</w:t>
      </w:r>
      <w:r>
        <w:rPr>
          <w:rStyle w:val="Hyperlink"/>
          <w:rFonts w:cs="Arial"/>
          <w:color w:val="auto"/>
          <w:szCs w:val="24"/>
          <w:u w:val="none"/>
        </w:rPr>
        <w:t xml:space="preserve">. Repeat medical evaluation in 24 hours (consider repeat dose of IV </w:t>
      </w:r>
      <w:r>
        <w:rPr>
          <w:rStyle w:val="Hyperlink"/>
          <w:rFonts w:cs="Arial"/>
          <w:color w:val="auto"/>
          <w:szCs w:val="24"/>
          <w:u w:val="none"/>
        </w:rPr>
        <w:tab/>
      </w:r>
      <w:r>
        <w:rPr>
          <w:rStyle w:val="Hyperlink"/>
          <w:rFonts w:cs="Arial"/>
          <w:color w:val="auto"/>
          <w:szCs w:val="24"/>
          <w:u w:val="none"/>
        </w:rPr>
        <w:tab/>
        <w:t xml:space="preserve">               ceftriaxone) </w:t>
      </w:r>
    </w:p>
    <w:p w:rsidR="00664E3E" w:rsidRPr="00120F90" w:rsidRDefault="00664E3E" w:rsidP="00120F90">
      <w:pPr>
        <w:spacing w:after="0"/>
        <w:rPr>
          <w:rStyle w:val="Hyperlink"/>
          <w:rFonts w:cs="Arial"/>
          <w:color w:val="auto"/>
          <w:szCs w:val="24"/>
          <w:u w:val="none"/>
        </w:rPr>
      </w:pPr>
    </w:p>
    <w:p w:rsidR="00120F90" w:rsidRDefault="00120F90" w:rsidP="00FC68E4">
      <w:pPr>
        <w:pStyle w:val="ListParagraph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t>2. If the patient is ill-appearing, unvaccinated/p</w:t>
      </w:r>
      <w:r w:rsidR="00664E3E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artially vaccinated, and/or</w:t>
      </w: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 </w:t>
      </w:r>
      <w:r w:rsidR="00664E3E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follow up is unreliable: </w:t>
      </w:r>
    </w:p>
    <w:p w:rsidR="00C33CF7" w:rsidRDefault="00C33CF7" w:rsidP="00FC68E4">
      <w:pPr>
        <w:pStyle w:val="ListParagraph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tab/>
        <w:t xml:space="preserve">a. Notify Pediatric Surgery Consult Resident on patient arrival </w:t>
      </w:r>
    </w:p>
    <w:p w:rsidR="00120F90" w:rsidRPr="00664E3E" w:rsidRDefault="00120F90" w:rsidP="00FC68E4">
      <w:pPr>
        <w:pStyle w:val="ListParagraph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tab/>
      </w:r>
      <w:r w:rsidR="00C33CF7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b</w:t>
      </w: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. </w:t>
      </w:r>
      <w:r w:rsidR="00C33CF7" w:rsidRPr="00664E3E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Administer IV ceftriaxone 50 mg/kg (max dose 1000 mg) </w:t>
      </w:r>
      <w:r w:rsidR="00C33CF7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 </w:t>
      </w:r>
    </w:p>
    <w:p w:rsidR="00664E3E" w:rsidRPr="00664E3E" w:rsidRDefault="00664E3E" w:rsidP="00664E3E">
      <w:pPr>
        <w:pStyle w:val="ListParagraph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 w:rsidRPr="00664E3E">
        <w:rPr>
          <w:rStyle w:val="Hyperlink"/>
          <w:rFonts w:ascii="Arial" w:hAnsi="Arial" w:cs="Arial"/>
          <w:color w:val="auto"/>
          <w:sz w:val="24"/>
          <w:szCs w:val="24"/>
          <w:u w:val="none"/>
        </w:rPr>
        <w:tab/>
      </w:r>
      <w:r w:rsidR="00C33CF7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c</w:t>
      </w:r>
      <w:r w:rsidRPr="00664E3E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. </w:t>
      </w:r>
      <w:r w:rsidR="00C33CF7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Consider broadening coverage with Vancomycin if critically ill (or </w:t>
      </w:r>
      <w:r w:rsidR="00C33CF7">
        <w:rPr>
          <w:rStyle w:val="Hyperlink"/>
          <w:rFonts w:ascii="Arial" w:hAnsi="Arial" w:cs="Arial"/>
          <w:color w:val="auto"/>
          <w:sz w:val="24"/>
          <w:szCs w:val="24"/>
          <w:u w:val="none"/>
        </w:rPr>
        <w:tab/>
        <w:t xml:space="preserve">  </w:t>
      </w:r>
      <w:r w:rsidR="00C33CF7">
        <w:rPr>
          <w:rStyle w:val="Hyperlink"/>
          <w:rFonts w:ascii="Arial" w:hAnsi="Arial" w:cs="Arial"/>
          <w:color w:val="auto"/>
          <w:sz w:val="24"/>
          <w:szCs w:val="24"/>
          <w:u w:val="none"/>
        </w:rPr>
        <w:tab/>
        <w:t xml:space="preserve">    </w:t>
      </w:r>
      <w:r w:rsidR="00C33CF7">
        <w:rPr>
          <w:rStyle w:val="Hyperlink"/>
          <w:rFonts w:ascii="Arial" w:hAnsi="Arial" w:cs="Arial"/>
          <w:color w:val="auto"/>
          <w:sz w:val="24"/>
          <w:szCs w:val="24"/>
          <w:u w:val="none"/>
        </w:rPr>
        <w:tab/>
        <w:t xml:space="preserve">    alternative antimicrobial based on patient microbiologic history) </w:t>
      </w:r>
    </w:p>
    <w:p w:rsidR="00C33CF7" w:rsidRPr="00664E3E" w:rsidRDefault="00120F90" w:rsidP="00C33CF7">
      <w:pPr>
        <w:pStyle w:val="ListParagraph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tab/>
      </w:r>
      <w:r w:rsidR="00C33CF7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d</w:t>
      </w: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. </w:t>
      </w:r>
      <w:r w:rsidR="00C33CF7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Admit to hospital for further evaluation/management</w:t>
      </w:r>
    </w:p>
    <w:p w:rsidR="006F76B6" w:rsidRDefault="006F76B6" w:rsidP="00FC68E4">
      <w:pPr>
        <w:pStyle w:val="ListParagraph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</w:p>
    <w:p w:rsidR="00FC68E4" w:rsidRDefault="00FC68E4" w:rsidP="00FC68E4">
      <w:pPr>
        <w:pStyle w:val="ListParagraph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</w:p>
    <w:p w:rsidR="00FC68E4" w:rsidRDefault="00FC68E4" w:rsidP="00FC68E4">
      <w:pPr>
        <w:pStyle w:val="ListParagraph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</w:p>
    <w:p w:rsidR="00FC68E4" w:rsidRPr="00A839F8" w:rsidRDefault="00FC68E4" w:rsidP="00FC68E4">
      <w:pPr>
        <w:pStyle w:val="ListParagraph"/>
        <w:rPr>
          <w:rFonts w:ascii="Arial" w:hAnsi="Arial" w:cs="Arial"/>
          <w:sz w:val="24"/>
          <w:szCs w:val="24"/>
        </w:rPr>
      </w:pPr>
    </w:p>
    <w:sectPr w:rsidR="00FC68E4" w:rsidRPr="00A839F8" w:rsidSect="00FC68E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732B" w:rsidRDefault="00BB732B" w:rsidP="00EC6483">
      <w:pPr>
        <w:spacing w:after="0" w:line="240" w:lineRule="auto"/>
      </w:pPr>
      <w:r>
        <w:separator/>
      </w:r>
    </w:p>
  </w:endnote>
  <w:endnote w:type="continuationSeparator" w:id="0">
    <w:p w:rsidR="00BB732B" w:rsidRDefault="00BB732B" w:rsidP="00EC6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68E4" w:rsidRDefault="00FC68E4">
    <w:pPr>
      <w:pStyle w:val="Footer"/>
      <w:jc w:val="right"/>
    </w:pPr>
    <w:r>
      <w:t xml:space="preserve">Updated </w:t>
    </w:r>
    <w:r w:rsidR="003A4121">
      <w:t>1</w:t>
    </w:r>
    <w:r w:rsidR="00007084">
      <w:t>1</w:t>
    </w:r>
    <w:r>
      <w:t>/2019</w:t>
    </w:r>
    <w:r>
      <w:tab/>
    </w:r>
    <w:r>
      <w:tab/>
    </w:r>
    <w:r>
      <w:tab/>
    </w:r>
    <w:sdt>
      <w:sdtPr>
        <w:id w:val="-164287786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7084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:rsidR="00FC68E4" w:rsidRDefault="00FC68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732B" w:rsidRDefault="00BB732B" w:rsidP="00EC6483">
      <w:pPr>
        <w:spacing w:after="0" w:line="240" w:lineRule="auto"/>
      </w:pPr>
      <w:r>
        <w:separator/>
      </w:r>
    </w:p>
  </w:footnote>
  <w:footnote w:type="continuationSeparator" w:id="0">
    <w:p w:rsidR="00BB732B" w:rsidRDefault="00BB732B" w:rsidP="00EC6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483" w:rsidRDefault="00EC6483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  <w:sz w:val="32"/>
                              <w:szCs w:val="32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EC6483" w:rsidRPr="00EC6483" w:rsidRDefault="00330686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OUTPATIENT </w:t>
                              </w:r>
                              <w:r w:rsidR="00FC68E4">
                                <w:rPr>
                                  <w:caps/>
                                  <w:color w:val="FFFFFF" w:themeColor="background1"/>
                                  <w:sz w:val="32"/>
                                  <w:szCs w:val="32"/>
                                </w:rPr>
                                <w:t>POST-TPIAT FEVER PROTOCOL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CXt0db3AAAAAQBAAAPAAAAAAAAAAAAAAAAAO0EAABkcnMvZG93bnJldi54&#10;bWxQSwUGAAAAAAQABADzAAAA9gUAAAAA&#10;" o:allowoverlap="f" fillcolor="#5b9bd5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  <w:sz w:val="32"/>
                        <w:szCs w:val="32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EC6483" w:rsidRPr="00EC6483" w:rsidRDefault="00330686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  <w:sz w:val="32"/>
                            <w:szCs w:val="32"/>
                          </w:rPr>
                          <w:t xml:space="preserve">OUTPATIENT </w:t>
                        </w:r>
                        <w:r w:rsidR="00FC68E4">
                          <w:rPr>
                            <w:caps/>
                            <w:color w:val="FFFFFF" w:themeColor="background1"/>
                            <w:sz w:val="32"/>
                            <w:szCs w:val="32"/>
                          </w:rPr>
                          <w:t>POST-TPIAT FEVER PROTOCOL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50238"/>
    <w:multiLevelType w:val="hybridMultilevel"/>
    <w:tmpl w:val="39DC0FF4"/>
    <w:lvl w:ilvl="0" w:tplc="FA64783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E7EFC"/>
    <w:multiLevelType w:val="hybridMultilevel"/>
    <w:tmpl w:val="BA2A8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32474"/>
    <w:multiLevelType w:val="hybridMultilevel"/>
    <w:tmpl w:val="40324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6A6BCB"/>
    <w:multiLevelType w:val="hybridMultilevel"/>
    <w:tmpl w:val="702CC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8C7EC6"/>
    <w:multiLevelType w:val="hybridMultilevel"/>
    <w:tmpl w:val="8682C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9558A7"/>
    <w:multiLevelType w:val="hybridMultilevel"/>
    <w:tmpl w:val="40160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2F758B"/>
    <w:multiLevelType w:val="hybridMultilevel"/>
    <w:tmpl w:val="0C162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A3364"/>
    <w:multiLevelType w:val="hybridMultilevel"/>
    <w:tmpl w:val="6E182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2320F6"/>
    <w:multiLevelType w:val="hybridMultilevel"/>
    <w:tmpl w:val="74684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7"/>
  </w:num>
  <w:num w:numId="5">
    <w:abstractNumId w:val="8"/>
  </w:num>
  <w:num w:numId="6">
    <w:abstractNumId w:val="4"/>
  </w:num>
  <w:num w:numId="7">
    <w:abstractNumId w:val="2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483"/>
    <w:rsid w:val="00007084"/>
    <w:rsid w:val="00034856"/>
    <w:rsid w:val="000D4582"/>
    <w:rsid w:val="000E67A7"/>
    <w:rsid w:val="00120F90"/>
    <w:rsid w:val="001A6F9B"/>
    <w:rsid w:val="001B2224"/>
    <w:rsid w:val="0029015F"/>
    <w:rsid w:val="00303F4E"/>
    <w:rsid w:val="00326D77"/>
    <w:rsid w:val="00330686"/>
    <w:rsid w:val="003A4121"/>
    <w:rsid w:val="00490859"/>
    <w:rsid w:val="004A4B72"/>
    <w:rsid w:val="005300EE"/>
    <w:rsid w:val="00543926"/>
    <w:rsid w:val="00557072"/>
    <w:rsid w:val="00664E3E"/>
    <w:rsid w:val="006F76B6"/>
    <w:rsid w:val="007B44A5"/>
    <w:rsid w:val="00847A84"/>
    <w:rsid w:val="008D0F7B"/>
    <w:rsid w:val="009670F8"/>
    <w:rsid w:val="00983CE8"/>
    <w:rsid w:val="009E6671"/>
    <w:rsid w:val="00A62CE3"/>
    <w:rsid w:val="00A839F8"/>
    <w:rsid w:val="00B9769E"/>
    <w:rsid w:val="00BB732B"/>
    <w:rsid w:val="00C15926"/>
    <w:rsid w:val="00C33CF7"/>
    <w:rsid w:val="00CD2902"/>
    <w:rsid w:val="00D22298"/>
    <w:rsid w:val="00D95FD2"/>
    <w:rsid w:val="00E3316F"/>
    <w:rsid w:val="00EC6483"/>
    <w:rsid w:val="00F65DAF"/>
    <w:rsid w:val="00FC68E4"/>
    <w:rsid w:val="00FD1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EA2EA12-7AAB-48B3-8C3A-C664DAF8D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6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6483"/>
  </w:style>
  <w:style w:type="paragraph" w:styleId="Footer">
    <w:name w:val="footer"/>
    <w:basedOn w:val="Normal"/>
    <w:link w:val="FooterChar"/>
    <w:uiPriority w:val="99"/>
    <w:unhideWhenUsed/>
    <w:rsid w:val="00EC6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6483"/>
  </w:style>
  <w:style w:type="paragraph" w:styleId="ListParagraph">
    <w:name w:val="List Paragraph"/>
    <w:basedOn w:val="Normal"/>
    <w:uiPriority w:val="34"/>
    <w:qFormat/>
    <w:rsid w:val="009E6671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character" w:styleId="Hyperlink">
    <w:name w:val="Hyperlink"/>
    <w:basedOn w:val="DefaultParagraphFont"/>
    <w:uiPriority w:val="99"/>
    <w:unhideWhenUsed/>
    <w:rsid w:val="00983CE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7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3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OUTPATIENT POST-TPIAT FEVER PROTOCOL</vt:lpstr>
    </vt:vector>
  </TitlesOfParts>
  <Company>Cincinnati Children's Hospital</Company>
  <LinksUpToDate>false</LinksUpToDate>
  <CharactersWithSpaces>1650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OUTPATIENT POST-TPIAT FEVER PROTOCOL</dc:title>
  <dc:subject/>
  <dc:creator>Paxton, Lisa</dc:creator>
  <cp:keywords/>
  <dc:description/>
  <cp:lastModifiedBy>Heinzman, Christie</cp:lastModifiedBy>
  <cp:revision>2</cp:revision>
  <dcterms:created xsi:type="dcterms:W3CDTF">2019-12-02T16:48:00Z</dcterms:created>
  <dcterms:modified xsi:type="dcterms:W3CDTF">2019-12-02T16:48:00Z</dcterms:modified>
</cp:coreProperties>
</file>