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C70FC" w14:textId="77777777" w:rsidR="00FC68E4" w:rsidRPr="0086571F" w:rsidRDefault="00DB3376" w:rsidP="00F84536">
      <w:pPr>
        <w:pStyle w:val="ListParagraph"/>
        <w:spacing w:after="0"/>
        <w:ind w:left="0"/>
        <w:jc w:val="center"/>
        <w:rPr>
          <w:rStyle w:val="Hyperlink"/>
          <w:rFonts w:ascii="Arial" w:hAnsi="Arial" w:cs="Arial"/>
          <w:color w:val="auto"/>
          <w:sz w:val="24"/>
          <w:szCs w:val="24"/>
        </w:rPr>
      </w:pPr>
      <w:r w:rsidRPr="0086571F">
        <w:rPr>
          <w:rStyle w:val="Hyperlink"/>
          <w:rFonts w:ascii="Arial" w:hAnsi="Arial" w:cs="Arial"/>
          <w:color w:val="auto"/>
          <w:sz w:val="24"/>
          <w:szCs w:val="24"/>
        </w:rPr>
        <w:t>Recommended vaccines prior to TPIAT</w:t>
      </w:r>
    </w:p>
    <w:p w14:paraId="16874812" w14:textId="77777777" w:rsidR="00DB3376" w:rsidRDefault="00DB3376" w:rsidP="00A83CBC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5EE489D1" w14:textId="77777777" w:rsidR="00DB3376" w:rsidRDefault="00DB3376" w:rsidP="00A83CBC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1. Tdap</w:t>
      </w:r>
    </w:p>
    <w:p w14:paraId="4568F672" w14:textId="77777777" w:rsidR="00125FCB" w:rsidRDefault="00125FCB" w:rsidP="00125FCB">
      <w:pPr>
        <w:pStyle w:val="ListParagraph"/>
        <w:numPr>
          <w:ilvl w:val="0"/>
          <w:numId w:val="21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Suggested when indicated per routine immunization schedule/</w:t>
      </w:r>
      <w:r w:rsidRPr="004023CF">
        <w:rPr>
          <w:rFonts w:ascii="Arial" w:hAnsi="Arial" w:cs="Arial"/>
          <w:sz w:val="24"/>
          <w:szCs w:val="24"/>
        </w:rPr>
        <w:t>not required</w:t>
      </w:r>
    </w:p>
    <w:p w14:paraId="0088085F" w14:textId="77777777" w:rsidR="005B4B56" w:rsidRDefault="005B4B56" w:rsidP="00A83CBC">
      <w:pPr>
        <w:pStyle w:val="ListParagraph"/>
        <w:spacing w:after="0"/>
        <w:ind w:left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bookmarkStart w:id="0" w:name="_GoBack"/>
      <w:bookmarkEnd w:id="0"/>
    </w:p>
    <w:p w14:paraId="7DB5D822" w14:textId="77777777" w:rsidR="00DB3376" w:rsidRDefault="00DB3376" w:rsidP="00A83CBC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Seasonal influenza vaccine</w:t>
      </w:r>
    </w:p>
    <w:p w14:paraId="44319653" w14:textId="77777777" w:rsidR="00B13A5D" w:rsidRDefault="00DB3376" w:rsidP="00B13A5D">
      <w:pPr>
        <w:pStyle w:val="ListParagraph"/>
        <w:numPr>
          <w:ilvl w:val="0"/>
          <w:numId w:val="11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September-April typical period for patients to receive the influenza vaccine</w:t>
      </w:r>
    </w:p>
    <w:p w14:paraId="3D60CAD7" w14:textId="77777777" w:rsidR="00DB3376" w:rsidRDefault="00DB3376" w:rsidP="00B13A5D">
      <w:pPr>
        <w:pStyle w:val="ListParagraph"/>
        <w:numPr>
          <w:ilvl w:val="0"/>
          <w:numId w:val="11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ID can provide updates to the PCC based on inf</w:t>
      </w:r>
      <w:r w:rsidR="00B13A5D">
        <w:rPr>
          <w:rFonts w:ascii="Arial" w:hAnsi="Arial" w:cs="Arial"/>
          <w:sz w:val="24"/>
          <w:szCs w:val="24"/>
        </w:rPr>
        <w:t xml:space="preserve">luenza activity in the early </w:t>
      </w:r>
      <w:r w:rsidRPr="00B13A5D">
        <w:rPr>
          <w:rFonts w:ascii="Arial" w:hAnsi="Arial" w:cs="Arial"/>
          <w:sz w:val="24"/>
          <w:szCs w:val="24"/>
        </w:rPr>
        <w:t>spring as needed</w:t>
      </w:r>
    </w:p>
    <w:p w14:paraId="45526808" w14:textId="77777777" w:rsidR="00B13A5D" w:rsidRPr="00B13A5D" w:rsidRDefault="00B13A5D" w:rsidP="00B13A5D">
      <w:pPr>
        <w:pStyle w:val="ListParagraph"/>
        <w:spacing w:after="0"/>
        <w:ind w:left="1440"/>
        <w:rPr>
          <w:rFonts w:ascii="Arial" w:hAnsi="Arial" w:cs="Arial"/>
          <w:sz w:val="24"/>
          <w:szCs w:val="24"/>
        </w:rPr>
      </w:pPr>
    </w:p>
    <w:p w14:paraId="056DD127" w14:textId="77777777" w:rsidR="00DB3376" w:rsidRDefault="00DB3376" w:rsidP="00A83CBC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Pneumococcal conjugate vaccine (PCV 13 or Prevnar 13</w:t>
      </w:r>
      <w:r w:rsidRPr="00DB3376">
        <w:rPr>
          <w:rFonts w:ascii="Arial" w:hAnsi="Arial" w:cs="Arial"/>
          <w:sz w:val="24"/>
          <w:szCs w:val="24"/>
          <w:vertAlign w:val="superscript"/>
        </w:rPr>
        <w:t>®</w:t>
      </w:r>
      <w:r>
        <w:rPr>
          <w:rFonts w:ascii="Arial" w:hAnsi="Arial" w:cs="Arial"/>
          <w:sz w:val="24"/>
          <w:szCs w:val="24"/>
        </w:rPr>
        <w:t>) if not previously received</w:t>
      </w:r>
    </w:p>
    <w:p w14:paraId="60FD7B44" w14:textId="4860A09B" w:rsidR="00B13A5D" w:rsidRDefault="00DB3376" w:rsidP="00B13A5D">
      <w:pPr>
        <w:pStyle w:val="ListParagraph"/>
        <w:numPr>
          <w:ilvl w:val="0"/>
          <w:numId w:val="14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Teens vaccinated before 2010 </w:t>
      </w:r>
      <w:r w:rsidR="00723FAC">
        <w:rPr>
          <w:rFonts w:ascii="Arial" w:hAnsi="Arial" w:cs="Arial"/>
          <w:sz w:val="24"/>
          <w:szCs w:val="24"/>
        </w:rPr>
        <w:t xml:space="preserve">who received PCV 7 </w:t>
      </w:r>
      <w:r>
        <w:rPr>
          <w:rFonts w:ascii="Arial" w:hAnsi="Arial" w:cs="Arial"/>
          <w:sz w:val="24"/>
          <w:szCs w:val="24"/>
        </w:rPr>
        <w:t xml:space="preserve">will need </w:t>
      </w:r>
      <w:r w:rsidR="00723FAC">
        <w:rPr>
          <w:rFonts w:ascii="Arial" w:hAnsi="Arial" w:cs="Arial"/>
          <w:sz w:val="24"/>
          <w:szCs w:val="24"/>
        </w:rPr>
        <w:t>a single dose of PCV 13</w:t>
      </w:r>
    </w:p>
    <w:p w14:paraId="776EBF15" w14:textId="77777777" w:rsidR="00B13A5D" w:rsidRPr="00B13A5D" w:rsidRDefault="00B13A5D" w:rsidP="00B13A5D">
      <w:pPr>
        <w:pStyle w:val="ListParagraph"/>
        <w:numPr>
          <w:ilvl w:val="0"/>
          <w:numId w:val="14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Complete Prevnar 13 at least 8 weeks prior to Meningoccoccal (Menactra</w:t>
      </w:r>
      <w:r w:rsidR="009674D2">
        <w:rPr>
          <w:rFonts w:ascii="Arial" w:hAnsi="Arial" w:cs="Arial"/>
          <w:sz w:val="24"/>
          <w:szCs w:val="24"/>
          <w:vertAlign w:val="superscript"/>
        </w:rPr>
        <w:t>®</w:t>
      </w:r>
      <w:r w:rsidRPr="00B13A5D">
        <w:rPr>
          <w:rFonts w:ascii="Arial" w:hAnsi="Arial" w:cs="Arial"/>
          <w:sz w:val="24"/>
          <w:szCs w:val="24"/>
        </w:rPr>
        <w:t>) as Prevnar 13</w:t>
      </w:r>
      <w:r w:rsidRPr="00B13A5D">
        <w:rPr>
          <w:rFonts w:ascii="Arial" w:hAnsi="Arial" w:cs="Arial"/>
          <w:sz w:val="24"/>
          <w:szCs w:val="24"/>
          <w:vertAlign w:val="superscript"/>
        </w:rPr>
        <w:t>®</w:t>
      </w:r>
      <w:r w:rsidRPr="00B13A5D">
        <w:rPr>
          <w:rFonts w:ascii="Arial" w:hAnsi="Arial" w:cs="Arial"/>
          <w:sz w:val="24"/>
          <w:szCs w:val="24"/>
        </w:rPr>
        <w:t xml:space="preserve"> decreases the immunogenicity of Menactra</w:t>
      </w:r>
    </w:p>
    <w:p w14:paraId="6EA59198" w14:textId="77777777" w:rsidR="00B13A5D" w:rsidRPr="00B13A5D" w:rsidRDefault="00B13A5D" w:rsidP="00B13A5D">
      <w:pPr>
        <w:spacing w:after="0"/>
        <w:ind w:left="720"/>
        <w:rPr>
          <w:rFonts w:cs="Arial"/>
          <w:szCs w:val="24"/>
        </w:rPr>
      </w:pPr>
    </w:p>
    <w:p w14:paraId="60CF75EB" w14:textId="77777777" w:rsidR="00DB3376" w:rsidRDefault="00DB3376" w:rsidP="00A83CBC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Pneumococcal polysaccharide vaccine (PPSV23 or Pneumovax</w:t>
      </w:r>
      <w:r w:rsidRPr="00DB3376">
        <w:rPr>
          <w:rFonts w:ascii="Arial" w:hAnsi="Arial" w:cs="Arial"/>
          <w:sz w:val="24"/>
          <w:szCs w:val="24"/>
          <w:vertAlign w:val="superscript"/>
        </w:rPr>
        <w:t>®</w:t>
      </w:r>
      <w:r>
        <w:rPr>
          <w:rFonts w:ascii="Arial" w:hAnsi="Arial" w:cs="Arial"/>
          <w:sz w:val="24"/>
          <w:szCs w:val="24"/>
        </w:rPr>
        <w:t>)</w:t>
      </w:r>
    </w:p>
    <w:p w14:paraId="11EBA266" w14:textId="77777777" w:rsidR="00DB3376" w:rsidRPr="00DB3376" w:rsidRDefault="00DB3376" w:rsidP="00B13A5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least 8 weeks after Prevnar 13</w:t>
      </w:r>
      <w:r>
        <w:rPr>
          <w:rFonts w:ascii="Arial" w:hAnsi="Arial" w:cs="Arial"/>
          <w:sz w:val="24"/>
          <w:szCs w:val="24"/>
          <w:vertAlign w:val="superscript"/>
        </w:rPr>
        <w:t>®</w:t>
      </w:r>
    </w:p>
    <w:p w14:paraId="17C1D75B" w14:textId="77777777" w:rsidR="00DB3376" w:rsidRDefault="00DB3376" w:rsidP="00B13A5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be given with meningococcal (Menactra</w:t>
      </w:r>
      <w:r w:rsidR="009674D2">
        <w:rPr>
          <w:rFonts w:ascii="Arial" w:hAnsi="Arial" w:cs="Arial"/>
          <w:sz w:val="24"/>
          <w:szCs w:val="24"/>
          <w:vertAlign w:val="superscript"/>
        </w:rPr>
        <w:t>®</w:t>
      </w:r>
      <w:r>
        <w:rPr>
          <w:rFonts w:ascii="Arial" w:hAnsi="Arial" w:cs="Arial"/>
          <w:sz w:val="24"/>
          <w:szCs w:val="24"/>
        </w:rPr>
        <w:t>) without any interactions</w:t>
      </w:r>
    </w:p>
    <w:p w14:paraId="026F8FA9" w14:textId="77777777" w:rsidR="00DB3376" w:rsidRDefault="00DB3376" w:rsidP="00B13A5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Pneumovax/PPSV23</w:t>
      </w:r>
      <w:r>
        <w:rPr>
          <w:rFonts w:ascii="Arial" w:hAnsi="Arial" w:cs="Arial"/>
          <w:sz w:val="24"/>
          <w:szCs w:val="24"/>
          <w:vertAlign w:val="superscript"/>
        </w:rPr>
        <w:t>®</w:t>
      </w:r>
      <w:r>
        <w:rPr>
          <w:rFonts w:ascii="Arial" w:hAnsi="Arial" w:cs="Arial"/>
          <w:sz w:val="24"/>
          <w:szCs w:val="24"/>
        </w:rPr>
        <w:t xml:space="preserve"> boosters as suggested every 5 years</w:t>
      </w:r>
    </w:p>
    <w:p w14:paraId="0CE6F275" w14:textId="77777777" w:rsidR="005B4B56" w:rsidRDefault="005B4B56" w:rsidP="005B4B56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12F01E7E" w14:textId="77777777" w:rsidR="00DB3376" w:rsidRDefault="00DB3376" w:rsidP="00DB3376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5. Meningococcal conjugate vaccines (Menactra</w:t>
      </w:r>
      <w:r>
        <w:rPr>
          <w:rFonts w:cs="Arial"/>
          <w:szCs w:val="24"/>
          <w:vertAlign w:val="superscript"/>
        </w:rPr>
        <w:t>®</w:t>
      </w:r>
      <w:r>
        <w:rPr>
          <w:rFonts w:cs="Arial"/>
          <w:szCs w:val="24"/>
        </w:rPr>
        <w:t>, Menveo</w:t>
      </w:r>
      <w:r>
        <w:rPr>
          <w:rFonts w:cs="Arial"/>
          <w:szCs w:val="24"/>
          <w:vertAlign w:val="superscript"/>
        </w:rPr>
        <w:t>®</w:t>
      </w:r>
      <w:r>
        <w:rPr>
          <w:rFonts w:cs="Arial"/>
          <w:szCs w:val="24"/>
        </w:rPr>
        <w:t>, and MenHibrix</w:t>
      </w:r>
      <w:r>
        <w:rPr>
          <w:rFonts w:cs="Arial"/>
          <w:szCs w:val="24"/>
          <w:vertAlign w:val="superscript"/>
        </w:rPr>
        <w:t>®</w:t>
      </w:r>
      <w:r>
        <w:rPr>
          <w:rFonts w:cs="Arial"/>
          <w:szCs w:val="24"/>
        </w:rPr>
        <w:t>) MCV</w:t>
      </w:r>
    </w:p>
    <w:p w14:paraId="20CE83C9" w14:textId="1B4DB5A4" w:rsidR="00DB3376" w:rsidRPr="00B13A5D" w:rsidRDefault="00DB3376" w:rsidP="00B13A5D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 xml:space="preserve">Guidelines for patients 24 months and older, for </w:t>
      </w:r>
      <w:r w:rsidR="002B3FBD">
        <w:rPr>
          <w:rFonts w:ascii="Arial" w:hAnsi="Arial" w:cs="Arial"/>
          <w:sz w:val="24"/>
          <w:szCs w:val="24"/>
        </w:rPr>
        <w:t xml:space="preserve">patients &lt;24 months – refer to </w:t>
      </w:r>
      <w:r w:rsidRPr="00B13A5D">
        <w:rPr>
          <w:rFonts w:ascii="Arial" w:hAnsi="Arial" w:cs="Arial"/>
          <w:sz w:val="24"/>
          <w:szCs w:val="24"/>
        </w:rPr>
        <w:t>CDC immunization schedule</w:t>
      </w:r>
    </w:p>
    <w:p w14:paraId="2DA26D35" w14:textId="77777777" w:rsidR="00DB3376" w:rsidRPr="00B13A5D" w:rsidRDefault="00DB3376" w:rsidP="00B13A5D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Everyone should receive 2 doses spaced 8-12 weeks apart</w:t>
      </w:r>
    </w:p>
    <w:p w14:paraId="4B444868" w14:textId="77777777" w:rsidR="00DB3376" w:rsidRPr="00B13A5D" w:rsidRDefault="00DB3376" w:rsidP="00B13A5D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Boosters as suggested every 5 years</w:t>
      </w:r>
    </w:p>
    <w:p w14:paraId="159A9E2E" w14:textId="77777777" w:rsidR="00DB3376" w:rsidRPr="00B13A5D" w:rsidRDefault="00DB3376" w:rsidP="00B13A5D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Can be given with Pneumovax</w:t>
      </w:r>
      <w:r w:rsidRPr="00B13A5D">
        <w:rPr>
          <w:rFonts w:ascii="Arial" w:hAnsi="Arial" w:cs="Arial"/>
          <w:sz w:val="24"/>
          <w:szCs w:val="24"/>
          <w:vertAlign w:val="superscript"/>
        </w:rPr>
        <w:t>®</w:t>
      </w:r>
    </w:p>
    <w:p w14:paraId="67B30527" w14:textId="77777777" w:rsidR="00DB3376" w:rsidRDefault="00DB3376" w:rsidP="00B13A5D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Can be given with Meningococcal B series</w:t>
      </w:r>
    </w:p>
    <w:p w14:paraId="59D99D15" w14:textId="77777777" w:rsidR="00B13A5D" w:rsidRPr="00B13A5D" w:rsidRDefault="00B13A5D" w:rsidP="00B13A5D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0C6C0865" w14:textId="77777777" w:rsidR="00B13A5D" w:rsidRDefault="00DB3376" w:rsidP="00DB3376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6. Meningococcal B series (MenB) (Trumemba</w:t>
      </w:r>
      <w:r w:rsidR="00B13A5D">
        <w:rPr>
          <w:rFonts w:cs="Arial"/>
          <w:szCs w:val="24"/>
          <w:vertAlign w:val="superscript"/>
        </w:rPr>
        <w:t xml:space="preserve">® </w:t>
      </w:r>
      <w:r w:rsidR="00B13A5D">
        <w:rPr>
          <w:rFonts w:cs="Arial"/>
          <w:szCs w:val="24"/>
        </w:rPr>
        <w:t>or Bexsero</w:t>
      </w:r>
      <w:r w:rsidR="00B13A5D">
        <w:rPr>
          <w:rFonts w:cs="Arial"/>
          <w:szCs w:val="24"/>
          <w:vertAlign w:val="superscript"/>
        </w:rPr>
        <w:t>®</w:t>
      </w:r>
      <w:r w:rsidR="00B13A5D">
        <w:rPr>
          <w:rFonts w:cs="Arial"/>
          <w:szCs w:val="24"/>
        </w:rPr>
        <w:t>)</w:t>
      </w:r>
    </w:p>
    <w:p w14:paraId="278AD566" w14:textId="77777777" w:rsidR="00B13A5D" w:rsidRPr="00B13A5D" w:rsidRDefault="00B13A5D" w:rsidP="00B13A5D">
      <w:pPr>
        <w:pStyle w:val="ListParagraph"/>
        <w:numPr>
          <w:ilvl w:val="1"/>
          <w:numId w:val="18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The CDC/ACIP currently recommends MenB for patients 10 years of age and older with anatomic or functional asplenia</w:t>
      </w:r>
    </w:p>
    <w:p w14:paraId="14296134" w14:textId="77777777" w:rsidR="00B13A5D" w:rsidRPr="00B13A5D" w:rsidRDefault="00B13A5D" w:rsidP="00B13A5D">
      <w:pPr>
        <w:pStyle w:val="ListParagraph"/>
        <w:numPr>
          <w:ilvl w:val="1"/>
          <w:numId w:val="18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ID recommends MenB vaccination to individuals that will likely undergo surgery within 12 months of the TPIAT evaluation (due to the durability of the vaccine)</w:t>
      </w:r>
    </w:p>
    <w:p w14:paraId="1282D5BF" w14:textId="5BAF5E95" w:rsidR="00B13A5D" w:rsidRPr="00B13A5D" w:rsidRDefault="00B13A5D" w:rsidP="00B13A5D">
      <w:pPr>
        <w:pStyle w:val="ListParagraph"/>
        <w:numPr>
          <w:ilvl w:val="1"/>
          <w:numId w:val="18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lastRenderedPageBreak/>
        <w:t xml:space="preserve">Trumemba (3 vaccine series) or Bexsero (2 vaccine series). Bexsero and Trumemba vaccines are not interchangeable, therefore it is preferable for </w:t>
      </w:r>
      <w:r w:rsidR="0078696C">
        <w:rPr>
          <w:rFonts w:ascii="Arial" w:hAnsi="Arial" w:cs="Arial"/>
          <w:sz w:val="24"/>
          <w:szCs w:val="24"/>
        </w:rPr>
        <w:t xml:space="preserve">  </w:t>
      </w:r>
      <w:r w:rsidRPr="00B13A5D">
        <w:rPr>
          <w:rFonts w:ascii="Arial" w:hAnsi="Arial" w:cs="Arial"/>
          <w:sz w:val="24"/>
          <w:szCs w:val="24"/>
        </w:rPr>
        <w:t>most patients to receive the vaccine from the same provider/location</w:t>
      </w:r>
    </w:p>
    <w:p w14:paraId="404EA94C" w14:textId="77777777" w:rsidR="00B13A5D" w:rsidRPr="00B13A5D" w:rsidRDefault="00B13A5D" w:rsidP="00B13A5D">
      <w:pPr>
        <w:pStyle w:val="ListParagraph"/>
        <w:numPr>
          <w:ilvl w:val="1"/>
          <w:numId w:val="18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Trumemba 3-dose series administered at 0, 1-2, and 6 months</w:t>
      </w:r>
    </w:p>
    <w:p w14:paraId="24C1A932" w14:textId="77777777" w:rsidR="00B13A5D" w:rsidRDefault="00B13A5D" w:rsidP="00B13A5D">
      <w:pPr>
        <w:pStyle w:val="ListParagraph"/>
        <w:numPr>
          <w:ilvl w:val="1"/>
          <w:numId w:val="18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B13A5D">
        <w:rPr>
          <w:rFonts w:ascii="Arial" w:hAnsi="Arial" w:cs="Arial"/>
          <w:sz w:val="24"/>
          <w:szCs w:val="24"/>
        </w:rPr>
        <w:t>Bexsero 2-dose series administered at 0 and ≥ 1 month later</w:t>
      </w:r>
    </w:p>
    <w:p w14:paraId="34849BD0" w14:textId="77777777" w:rsidR="004023CF" w:rsidRPr="005B4B56" w:rsidRDefault="004023CF" w:rsidP="004023CF">
      <w:pPr>
        <w:pStyle w:val="ListParagraph"/>
        <w:numPr>
          <w:ilvl w:val="1"/>
          <w:numId w:val="18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be given with Meningococcal/Menactra</w:t>
      </w:r>
      <w:r>
        <w:rPr>
          <w:rFonts w:ascii="Arial" w:hAnsi="Arial" w:cs="Arial"/>
          <w:sz w:val="24"/>
          <w:szCs w:val="24"/>
          <w:vertAlign w:val="superscript"/>
        </w:rPr>
        <w:t>®</w:t>
      </w:r>
    </w:p>
    <w:p w14:paraId="5E5A3A53" w14:textId="77777777" w:rsidR="005B4B56" w:rsidRDefault="005B4B56" w:rsidP="005B4B56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467C7218" w14:textId="77777777" w:rsidR="004023CF" w:rsidRPr="004023CF" w:rsidRDefault="004023CF" w:rsidP="004023CF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7. HPV (Gardasil</w:t>
      </w:r>
      <w:r>
        <w:rPr>
          <w:rFonts w:cs="Arial"/>
          <w:szCs w:val="24"/>
          <w:vertAlign w:val="superscript"/>
        </w:rPr>
        <w:t>®</w:t>
      </w:r>
      <w:r>
        <w:rPr>
          <w:rFonts w:cs="Arial"/>
          <w:szCs w:val="24"/>
        </w:rPr>
        <w:t>)</w:t>
      </w:r>
    </w:p>
    <w:p w14:paraId="7AF321E6" w14:textId="77777777" w:rsidR="004D5833" w:rsidRDefault="004D5833" w:rsidP="004D5833">
      <w:pPr>
        <w:pStyle w:val="ListParagraph"/>
        <w:numPr>
          <w:ilvl w:val="0"/>
          <w:numId w:val="19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Suggested when indicated per routine immunization schedule/</w:t>
      </w:r>
      <w:r w:rsidRPr="004023CF">
        <w:rPr>
          <w:rFonts w:ascii="Arial" w:hAnsi="Arial" w:cs="Arial"/>
          <w:sz w:val="24"/>
          <w:szCs w:val="24"/>
        </w:rPr>
        <w:t>not required</w:t>
      </w:r>
    </w:p>
    <w:p w14:paraId="2909530D" w14:textId="77777777" w:rsidR="004023CF" w:rsidRDefault="004023CF" w:rsidP="004023CF">
      <w:pPr>
        <w:pStyle w:val="ListParagraph"/>
        <w:numPr>
          <w:ilvl w:val="0"/>
          <w:numId w:val="19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&lt;15 when started, the HPV9 is a 2-dose series at 0 and 6-12 months</w:t>
      </w:r>
    </w:p>
    <w:p w14:paraId="65C3E360" w14:textId="77777777" w:rsidR="004023CF" w:rsidRDefault="004023CF" w:rsidP="004023CF">
      <w:pPr>
        <w:pStyle w:val="ListParagraph"/>
        <w:numPr>
          <w:ilvl w:val="0"/>
          <w:numId w:val="19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&gt;15 when started, the 3-dose series is recommended</w:t>
      </w:r>
      <w:r w:rsidR="009674D2">
        <w:rPr>
          <w:rFonts w:ascii="Arial" w:hAnsi="Arial" w:cs="Arial"/>
          <w:sz w:val="24"/>
          <w:szCs w:val="24"/>
        </w:rPr>
        <w:t xml:space="preserve"> at 0, 1-2 months, and 6 months</w:t>
      </w:r>
    </w:p>
    <w:p w14:paraId="26F6C8EC" w14:textId="77777777" w:rsidR="004023CF" w:rsidRPr="0086571F" w:rsidRDefault="004023CF" w:rsidP="004023CF">
      <w:pPr>
        <w:spacing w:after="0"/>
        <w:rPr>
          <w:rFonts w:cs="Arial"/>
          <w:szCs w:val="24"/>
          <w:u w:val="single"/>
        </w:rPr>
      </w:pPr>
    </w:p>
    <w:p w14:paraId="6486C08D" w14:textId="77777777" w:rsidR="004023CF" w:rsidRPr="0086571F" w:rsidRDefault="0086571F" w:rsidP="0086571F">
      <w:pPr>
        <w:spacing w:after="0"/>
        <w:jc w:val="center"/>
        <w:rPr>
          <w:rFonts w:cs="Arial"/>
          <w:szCs w:val="24"/>
          <w:u w:val="single"/>
        </w:rPr>
      </w:pPr>
      <w:r w:rsidRPr="0086571F">
        <w:rPr>
          <w:rFonts w:cs="Arial"/>
          <w:szCs w:val="24"/>
          <w:u w:val="single"/>
        </w:rPr>
        <w:t>General ID recommendations re: TPIAT patients</w:t>
      </w:r>
    </w:p>
    <w:p w14:paraId="2095D19E" w14:textId="77777777" w:rsidR="0086571F" w:rsidRDefault="0086571F" w:rsidP="0086571F">
      <w:pPr>
        <w:spacing w:after="0"/>
        <w:jc w:val="center"/>
        <w:rPr>
          <w:rFonts w:cs="Arial"/>
          <w:szCs w:val="24"/>
        </w:rPr>
      </w:pPr>
    </w:p>
    <w:p w14:paraId="0F3E1C4A" w14:textId="3030E459" w:rsidR="002B3FBD" w:rsidRDefault="002B3FBD" w:rsidP="004023CF">
      <w:pPr>
        <w:pStyle w:val="ListParagraph"/>
        <w:numPr>
          <w:ilvl w:val="0"/>
          <w:numId w:val="20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Vaccinations prior to TPIAT should not be administered within two weeks of OR date </w:t>
      </w:r>
    </w:p>
    <w:p w14:paraId="5CCFEFD7" w14:textId="77777777" w:rsidR="002B3FBD" w:rsidRDefault="002B3FBD" w:rsidP="002B3FBD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2E975F8F" w14:textId="77777777" w:rsidR="004023CF" w:rsidRDefault="004023CF" w:rsidP="004023CF">
      <w:pPr>
        <w:pStyle w:val="ListParagraph"/>
        <w:numPr>
          <w:ilvl w:val="0"/>
          <w:numId w:val="20"/>
        </w:numPr>
        <w:spacing w:after="0"/>
        <w:ind w:left="1080"/>
        <w:rPr>
          <w:rFonts w:ascii="Arial" w:hAnsi="Arial" w:cs="Arial"/>
          <w:sz w:val="24"/>
          <w:szCs w:val="24"/>
        </w:rPr>
      </w:pPr>
      <w:r w:rsidRPr="004023CF">
        <w:rPr>
          <w:rFonts w:ascii="Arial" w:hAnsi="Arial" w:cs="Arial"/>
          <w:sz w:val="24"/>
          <w:szCs w:val="24"/>
        </w:rPr>
        <w:t>There is</w:t>
      </w:r>
      <w:r>
        <w:rPr>
          <w:rFonts w:ascii="Arial" w:hAnsi="Arial" w:cs="Arial"/>
          <w:sz w:val="24"/>
          <w:szCs w:val="24"/>
        </w:rPr>
        <w:t xml:space="preserve"> not a specified number of doses for each vaccine required prior to TPIAT. As many as possible is suggested and depends on the clinical urgency for TPIAT</w:t>
      </w:r>
    </w:p>
    <w:p w14:paraId="0039BD88" w14:textId="77777777" w:rsidR="009674D2" w:rsidRDefault="009674D2" w:rsidP="009674D2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4228AFF2" w14:textId="77777777" w:rsidR="004023CF" w:rsidRDefault="004023CF" w:rsidP="004023CF">
      <w:pPr>
        <w:pStyle w:val="ListParagraph"/>
        <w:numPr>
          <w:ilvl w:val="0"/>
          <w:numId w:val="20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pre-TPIAT patients are seen by ID prior to TPIAT for evaluation; this includes a review of vaccine history and recommendations for needed vaccines</w:t>
      </w:r>
    </w:p>
    <w:p w14:paraId="2DF2B0D5" w14:textId="77777777" w:rsidR="009674D2" w:rsidRDefault="009674D2" w:rsidP="009674D2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14:paraId="52769C0B" w14:textId="77777777" w:rsidR="004023CF" w:rsidRDefault="004023CF" w:rsidP="004023CF">
      <w:pPr>
        <w:pStyle w:val="ListParagraph"/>
        <w:numPr>
          <w:ilvl w:val="0"/>
          <w:numId w:val="20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vaccines that were not completed prior to TPIAT, post-TPIAT can: </w:t>
      </w:r>
    </w:p>
    <w:p w14:paraId="2B4D2278" w14:textId="77777777" w:rsidR="004023CF" w:rsidRDefault="004023CF" w:rsidP="004023CF">
      <w:pPr>
        <w:pStyle w:val="ListParagraph"/>
        <w:numPr>
          <w:ilvl w:val="1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Resume vaccines at approximately 4 weeks </w:t>
      </w:r>
      <w:r w:rsidR="009674D2">
        <w:rPr>
          <w:rFonts w:ascii="Arial" w:hAnsi="Arial" w:cs="Arial"/>
          <w:sz w:val="24"/>
          <w:szCs w:val="24"/>
        </w:rPr>
        <w:t xml:space="preserve">post op </w:t>
      </w:r>
    </w:p>
    <w:p w14:paraId="060D1D70" w14:textId="5EB4EA9E" w:rsidR="009674D2" w:rsidRDefault="004023CF" w:rsidP="002B3FBD">
      <w:pPr>
        <w:pStyle w:val="ListParagraph"/>
        <w:numPr>
          <w:ilvl w:val="1"/>
          <w:numId w:val="1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fully recovered earlier than 4 weeks, vaccines can be resumed at 2 weeks</w:t>
      </w:r>
    </w:p>
    <w:p w14:paraId="5D99A9C1" w14:textId="77777777" w:rsidR="002B3FBD" w:rsidRDefault="002B3FBD" w:rsidP="002B3FBD">
      <w:pPr>
        <w:pStyle w:val="ListParagraph"/>
        <w:spacing w:after="0"/>
        <w:ind w:left="1440"/>
        <w:rPr>
          <w:rFonts w:ascii="Arial" w:hAnsi="Arial" w:cs="Arial"/>
          <w:sz w:val="24"/>
          <w:szCs w:val="24"/>
        </w:rPr>
      </w:pPr>
    </w:p>
    <w:p w14:paraId="402F0949" w14:textId="77777777" w:rsidR="004023CF" w:rsidRDefault="004023CF" w:rsidP="00794A42">
      <w:pPr>
        <w:pStyle w:val="ListParagraph"/>
        <w:numPr>
          <w:ilvl w:val="0"/>
          <w:numId w:val="15"/>
        </w:numPr>
        <w:spacing w:after="0"/>
        <w:ind w:left="1080" w:right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post-TPIAT patients are to remain on PCN until they are 1 year post-TPIAT AND at least &gt;5 y</w:t>
      </w:r>
      <w:r w:rsidR="009674D2">
        <w:rPr>
          <w:rFonts w:ascii="Arial" w:hAnsi="Arial" w:cs="Arial"/>
          <w:sz w:val="24"/>
          <w:szCs w:val="24"/>
        </w:rPr>
        <w:t>ears of age, AND fully immunized</w:t>
      </w:r>
    </w:p>
    <w:p w14:paraId="678406D1" w14:textId="77777777" w:rsidR="009674D2" w:rsidRDefault="009674D2" w:rsidP="00794A42">
      <w:pPr>
        <w:pStyle w:val="ListParagraph"/>
        <w:spacing w:after="0"/>
        <w:ind w:left="1008"/>
        <w:rPr>
          <w:rFonts w:ascii="Arial" w:hAnsi="Arial" w:cs="Arial"/>
          <w:sz w:val="24"/>
          <w:szCs w:val="24"/>
        </w:rPr>
      </w:pPr>
    </w:p>
    <w:p w14:paraId="4F065CD6" w14:textId="77777777" w:rsidR="004023CF" w:rsidRDefault="004023CF" w:rsidP="00794A42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post-TPIAT patients should have a pre-prescribed antibiotic in hand if, in the case of fever or concern for infection, the patient cannot be evaluated within 2 hours (due to living in a remote location, camping, travelling,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lastRenderedPageBreak/>
        <w:t>Amoxicillin is recommended as first-line, with levofloxacin as second-line or for</w:t>
      </w:r>
      <w:r w:rsidR="009674D2">
        <w:rPr>
          <w:rFonts w:ascii="Arial" w:hAnsi="Arial" w:cs="Arial"/>
          <w:sz w:val="24"/>
          <w:szCs w:val="24"/>
        </w:rPr>
        <w:t xml:space="preserve"> those with a penicillin allergy</w:t>
      </w:r>
    </w:p>
    <w:p w14:paraId="0899B149" w14:textId="77777777" w:rsidR="009674D2" w:rsidRDefault="009674D2" w:rsidP="009674D2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0B32F4BF" w14:textId="77777777" w:rsidR="004023CF" w:rsidRDefault="004023CF" w:rsidP="00794A42">
      <w:pPr>
        <w:pStyle w:val="ListParagraph"/>
        <w:numPr>
          <w:ilvl w:val="0"/>
          <w:numId w:val="15"/>
        </w:numPr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TPIAT evaluation recommended vaccines are </w:t>
      </w:r>
      <w:r w:rsidR="00794A42">
        <w:rPr>
          <w:rFonts w:ascii="Arial" w:hAnsi="Arial" w:cs="Arial"/>
          <w:sz w:val="24"/>
          <w:szCs w:val="24"/>
        </w:rPr>
        <w:t>not completed at the 1 year post op interval</w:t>
      </w:r>
      <w:r>
        <w:rPr>
          <w:rFonts w:ascii="Arial" w:hAnsi="Arial" w:cs="Arial"/>
          <w:sz w:val="24"/>
          <w:szCs w:val="24"/>
        </w:rPr>
        <w:t xml:space="preserve">, the patient will remain on PCN. Once all TPIAT evaluation recommended vaccines are completed, PCN may be discontinued 4 weeks post last received vaccine. </w:t>
      </w:r>
    </w:p>
    <w:p w14:paraId="3CE3F1D8" w14:textId="77777777" w:rsidR="00794A42" w:rsidRDefault="00794A42" w:rsidP="00794A42">
      <w:pPr>
        <w:pStyle w:val="ListParagraph"/>
        <w:spacing w:after="0"/>
        <w:ind w:left="1008"/>
        <w:rPr>
          <w:rFonts w:ascii="Arial" w:hAnsi="Arial" w:cs="Arial"/>
          <w:sz w:val="24"/>
          <w:szCs w:val="24"/>
        </w:rPr>
      </w:pPr>
    </w:p>
    <w:p w14:paraId="0FC1B6A0" w14:textId="77777777" w:rsidR="004023CF" w:rsidRDefault="004023CF" w:rsidP="00794A42">
      <w:pPr>
        <w:pStyle w:val="ListParagraph"/>
        <w:numPr>
          <w:ilvl w:val="0"/>
          <w:numId w:val="15"/>
        </w:numPr>
        <w:spacing w:after="0"/>
        <w:ind w:left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post-TPIAT patients are seen for </w:t>
      </w:r>
      <w:r w:rsidR="00794A42">
        <w:rPr>
          <w:rFonts w:ascii="Arial" w:hAnsi="Arial" w:cs="Arial"/>
          <w:sz w:val="24"/>
          <w:szCs w:val="24"/>
        </w:rPr>
        <w:t xml:space="preserve">ID </w:t>
      </w:r>
      <w:r>
        <w:rPr>
          <w:rFonts w:ascii="Arial" w:hAnsi="Arial" w:cs="Arial"/>
          <w:sz w:val="24"/>
          <w:szCs w:val="24"/>
        </w:rPr>
        <w:t xml:space="preserve">follow up at: </w:t>
      </w:r>
    </w:p>
    <w:p w14:paraId="1587D2B9" w14:textId="77777777" w:rsidR="004023CF" w:rsidRPr="00794A42" w:rsidRDefault="004023CF" w:rsidP="00794A42">
      <w:pPr>
        <w:pStyle w:val="ListParagraph"/>
        <w:numPr>
          <w:ilvl w:val="1"/>
          <w:numId w:val="15"/>
        </w:numPr>
        <w:spacing w:after="0"/>
        <w:ind w:left="1368"/>
        <w:rPr>
          <w:rFonts w:ascii="Arial" w:hAnsi="Arial" w:cs="Arial"/>
          <w:sz w:val="24"/>
          <w:szCs w:val="24"/>
        </w:rPr>
      </w:pPr>
      <w:r w:rsidRPr="00794A42">
        <w:rPr>
          <w:rFonts w:ascii="Arial" w:hAnsi="Arial" w:cs="Arial"/>
          <w:sz w:val="24"/>
          <w:szCs w:val="24"/>
        </w:rPr>
        <w:t>3 month post-TPIAT to review immunizations, discuss prophylaxis PCN, when to call for fevers (&gt;100.4), and overall risks</w:t>
      </w:r>
      <w:r w:rsidR="00794A42" w:rsidRPr="00794A42">
        <w:rPr>
          <w:rFonts w:ascii="Arial" w:hAnsi="Arial" w:cs="Arial"/>
          <w:sz w:val="24"/>
          <w:szCs w:val="24"/>
        </w:rPr>
        <w:t xml:space="preserve">. </w:t>
      </w:r>
      <w:r w:rsidR="00794A42">
        <w:rPr>
          <w:rFonts w:ascii="Arial" w:hAnsi="Arial" w:cs="Arial"/>
          <w:sz w:val="24"/>
          <w:szCs w:val="24"/>
        </w:rPr>
        <w:t>I</w:t>
      </w:r>
      <w:r w:rsidRPr="00794A42">
        <w:rPr>
          <w:rFonts w:ascii="Arial" w:hAnsi="Arial" w:cs="Arial"/>
          <w:sz w:val="24"/>
          <w:szCs w:val="24"/>
        </w:rPr>
        <w:t>f ID is unavailable to see a patient at the 3 month interval, ID follow up will be scheduled at 6 month interval</w:t>
      </w:r>
    </w:p>
    <w:p w14:paraId="16ABB856" w14:textId="6B1242B4" w:rsidR="004023CF" w:rsidRDefault="004023CF" w:rsidP="00794A42">
      <w:pPr>
        <w:pStyle w:val="ListParagraph"/>
        <w:numPr>
          <w:ilvl w:val="1"/>
          <w:numId w:val="15"/>
        </w:numPr>
        <w:spacing w:after="0"/>
        <w:ind w:left="13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year post-TPIAT </w:t>
      </w:r>
      <w:r w:rsidR="002B3FBD">
        <w:rPr>
          <w:rFonts w:ascii="Arial" w:hAnsi="Arial" w:cs="Arial"/>
          <w:sz w:val="24"/>
          <w:szCs w:val="24"/>
        </w:rPr>
        <w:t xml:space="preserve">and yearly thereafter </w:t>
      </w:r>
      <w:r>
        <w:rPr>
          <w:rFonts w:ascii="Arial" w:hAnsi="Arial" w:cs="Arial"/>
          <w:sz w:val="24"/>
          <w:szCs w:val="24"/>
        </w:rPr>
        <w:t>to review immunizations, discuss prophylaxis PCN, when to call for fevers (&gt;100.4), and overall risks</w:t>
      </w:r>
    </w:p>
    <w:p w14:paraId="1A2448E0" w14:textId="77777777" w:rsidR="00B13A5D" w:rsidRDefault="00B13A5D" w:rsidP="00794A42">
      <w:pPr>
        <w:spacing w:after="0"/>
        <w:ind w:left="720"/>
        <w:rPr>
          <w:rFonts w:cs="Arial"/>
          <w:szCs w:val="24"/>
        </w:rPr>
      </w:pPr>
    </w:p>
    <w:p w14:paraId="7D0C697A" w14:textId="77777777" w:rsidR="00B13A5D" w:rsidRPr="00B13A5D" w:rsidRDefault="00B13A5D" w:rsidP="00DB3376">
      <w:pPr>
        <w:spacing w:after="0"/>
        <w:rPr>
          <w:rFonts w:cs="Arial"/>
          <w:szCs w:val="24"/>
        </w:rPr>
      </w:pPr>
    </w:p>
    <w:sectPr w:rsidR="00B13A5D" w:rsidRPr="00B13A5D" w:rsidSect="00FC68E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23EC8C" w16cid:durableId="21370B08"/>
  <w16cid:commentId w16cid:paraId="25322ED9" w16cid:durableId="21370B09"/>
  <w16cid:commentId w16cid:paraId="06378F5E" w16cid:durableId="21370B0A"/>
  <w16cid:commentId w16cid:paraId="7DB4ECC0" w16cid:durableId="21370B0B"/>
  <w16cid:commentId w16cid:paraId="495B04A8" w16cid:durableId="21370B0C"/>
  <w16cid:commentId w16cid:paraId="1EA5B7A7" w16cid:durableId="21370B0D"/>
  <w16cid:commentId w16cid:paraId="6AAF7150" w16cid:durableId="21370B0E"/>
  <w16cid:commentId w16cid:paraId="1C83B835" w16cid:durableId="21370B0F"/>
  <w16cid:commentId w16cid:paraId="6DAE0FFE" w16cid:durableId="21370B10"/>
  <w16cid:commentId w16cid:paraId="58F376A8" w16cid:durableId="21370B11"/>
  <w16cid:commentId w16cid:paraId="134F17B6" w16cid:durableId="21370B12"/>
  <w16cid:commentId w16cid:paraId="5E5211E9" w16cid:durableId="21370B13"/>
  <w16cid:commentId w16cid:paraId="7BB97B06" w16cid:durableId="21370B14"/>
  <w16cid:commentId w16cid:paraId="043E7F6E" w16cid:durableId="21370B15"/>
  <w16cid:commentId w16cid:paraId="428309C6" w16cid:durableId="21370B16"/>
  <w16cid:commentId w16cid:paraId="3C44CF64" w16cid:durableId="21370B17"/>
  <w16cid:commentId w16cid:paraId="5D6B0A53" w16cid:durableId="21370B18"/>
  <w16cid:commentId w16cid:paraId="13728AFD" w16cid:durableId="21370B19"/>
  <w16cid:commentId w16cid:paraId="5051A698" w16cid:durableId="21370B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FD56F" w14:textId="77777777" w:rsidR="00691B34" w:rsidRDefault="00691B34" w:rsidP="00EC6483">
      <w:pPr>
        <w:spacing w:after="0" w:line="240" w:lineRule="auto"/>
      </w:pPr>
      <w:r>
        <w:separator/>
      </w:r>
    </w:p>
  </w:endnote>
  <w:endnote w:type="continuationSeparator" w:id="0">
    <w:p w14:paraId="6C51EB9E" w14:textId="77777777" w:rsidR="00691B34" w:rsidRDefault="00691B34" w:rsidP="00EC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E5D3C" w14:textId="43AB13B5" w:rsidR="00FC68E4" w:rsidRDefault="00FC68E4">
    <w:pPr>
      <w:pStyle w:val="Footer"/>
      <w:jc w:val="right"/>
    </w:pPr>
    <w:r>
      <w:t xml:space="preserve">Updated </w:t>
    </w:r>
    <w:r w:rsidR="0078696C">
      <w:t>10</w:t>
    </w:r>
    <w:r>
      <w:t>/2019</w:t>
    </w:r>
    <w:r>
      <w:tab/>
    </w:r>
    <w:r>
      <w:tab/>
    </w:r>
    <w:r>
      <w:tab/>
    </w:r>
    <w:sdt>
      <w:sdtPr>
        <w:id w:val="-16428778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1939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2EBBB2A" w14:textId="77777777" w:rsidR="00FC68E4" w:rsidRDefault="00FC68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E2261" w14:textId="77777777" w:rsidR="00691B34" w:rsidRDefault="00691B34" w:rsidP="00EC6483">
      <w:pPr>
        <w:spacing w:after="0" w:line="240" w:lineRule="auto"/>
      </w:pPr>
      <w:r>
        <w:separator/>
      </w:r>
    </w:p>
  </w:footnote>
  <w:footnote w:type="continuationSeparator" w:id="0">
    <w:p w14:paraId="148975DC" w14:textId="77777777" w:rsidR="00691B34" w:rsidRDefault="00691B34" w:rsidP="00EC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08F92" w14:textId="77777777" w:rsidR="00EC6483" w:rsidRDefault="00EC648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4269EA3" wp14:editId="38A0B94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8F04EAE" w14:textId="69A9F3C6" w:rsidR="00EC6483" w:rsidRPr="00EC6483" w:rsidRDefault="00CD69F7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TPIAT AND PANCREATIC SURGERY                    VACCINATION opSI GUIDELINE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4269EA3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8F04EAE" w14:textId="69A9F3C6" w:rsidR="00EC6483" w:rsidRPr="00EC6483" w:rsidRDefault="00CD69F7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TPIAT AND PANCREATIC SURGERY                    VACCINATION opSI GUIDELINE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1A3D"/>
    <w:multiLevelType w:val="hybridMultilevel"/>
    <w:tmpl w:val="B09850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50238"/>
    <w:multiLevelType w:val="hybridMultilevel"/>
    <w:tmpl w:val="39DC0FF4"/>
    <w:lvl w:ilvl="0" w:tplc="FA647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E7EFC"/>
    <w:multiLevelType w:val="hybridMultilevel"/>
    <w:tmpl w:val="BA2A8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083A"/>
    <w:multiLevelType w:val="hybridMultilevel"/>
    <w:tmpl w:val="90465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1B5E"/>
    <w:multiLevelType w:val="hybridMultilevel"/>
    <w:tmpl w:val="35C4FB1E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 w15:restartNumberingAfterBreak="0">
    <w:nsid w:val="29AD11ED"/>
    <w:multiLevelType w:val="hybridMultilevel"/>
    <w:tmpl w:val="D8A00E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3843AF"/>
    <w:multiLevelType w:val="hybridMultilevel"/>
    <w:tmpl w:val="C778D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B32474"/>
    <w:multiLevelType w:val="hybridMultilevel"/>
    <w:tmpl w:val="4032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55CD"/>
    <w:multiLevelType w:val="hybridMultilevel"/>
    <w:tmpl w:val="D83E4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6A6BCB"/>
    <w:multiLevelType w:val="hybridMultilevel"/>
    <w:tmpl w:val="702C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6A6820"/>
    <w:multiLevelType w:val="hybridMultilevel"/>
    <w:tmpl w:val="7736D5A8"/>
    <w:lvl w:ilvl="0" w:tplc="5CCC50C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2D7160"/>
    <w:multiLevelType w:val="hybridMultilevel"/>
    <w:tmpl w:val="7082C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C7EC6"/>
    <w:multiLevelType w:val="hybridMultilevel"/>
    <w:tmpl w:val="868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A239B"/>
    <w:multiLevelType w:val="hybridMultilevel"/>
    <w:tmpl w:val="A84E28D8"/>
    <w:lvl w:ilvl="0" w:tplc="4448E33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558A7"/>
    <w:multiLevelType w:val="hybridMultilevel"/>
    <w:tmpl w:val="4016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F758B"/>
    <w:multiLevelType w:val="hybridMultilevel"/>
    <w:tmpl w:val="0C16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A3364"/>
    <w:multiLevelType w:val="hybridMultilevel"/>
    <w:tmpl w:val="6E18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320F6"/>
    <w:multiLevelType w:val="hybridMultilevel"/>
    <w:tmpl w:val="7468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D1830"/>
    <w:multiLevelType w:val="hybridMultilevel"/>
    <w:tmpl w:val="44B67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CC60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837DA"/>
    <w:multiLevelType w:val="hybridMultilevel"/>
    <w:tmpl w:val="E80808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0" w15:restartNumberingAfterBreak="0">
    <w:nsid w:val="7ED74586"/>
    <w:multiLevelType w:val="hybridMultilevel"/>
    <w:tmpl w:val="C35665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16"/>
  </w:num>
  <w:num w:numId="5">
    <w:abstractNumId w:val="17"/>
  </w:num>
  <w:num w:numId="6">
    <w:abstractNumId w:val="12"/>
  </w:num>
  <w:num w:numId="7">
    <w:abstractNumId w:val="7"/>
  </w:num>
  <w:num w:numId="8">
    <w:abstractNumId w:val="1"/>
  </w:num>
  <w:num w:numId="9">
    <w:abstractNumId w:val="15"/>
  </w:num>
  <w:num w:numId="10">
    <w:abstractNumId w:val="13"/>
  </w:num>
  <w:num w:numId="11">
    <w:abstractNumId w:val="8"/>
  </w:num>
  <w:num w:numId="12">
    <w:abstractNumId w:val="6"/>
  </w:num>
  <w:num w:numId="13">
    <w:abstractNumId w:val="0"/>
  </w:num>
  <w:num w:numId="14">
    <w:abstractNumId w:val="20"/>
  </w:num>
  <w:num w:numId="15">
    <w:abstractNumId w:val="18"/>
  </w:num>
  <w:num w:numId="16">
    <w:abstractNumId w:val="10"/>
  </w:num>
  <w:num w:numId="17">
    <w:abstractNumId w:val="4"/>
  </w:num>
  <w:num w:numId="18">
    <w:abstractNumId w:val="19"/>
  </w:num>
  <w:num w:numId="19">
    <w:abstractNumId w:val="3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83"/>
    <w:rsid w:val="00034856"/>
    <w:rsid w:val="00045BEA"/>
    <w:rsid w:val="000550F0"/>
    <w:rsid w:val="000D4582"/>
    <w:rsid w:val="000E67A7"/>
    <w:rsid w:val="000F29D1"/>
    <w:rsid w:val="00120F90"/>
    <w:rsid w:val="00125FCB"/>
    <w:rsid w:val="001A6F9B"/>
    <w:rsid w:val="001B2224"/>
    <w:rsid w:val="001E139A"/>
    <w:rsid w:val="00245C71"/>
    <w:rsid w:val="0029015F"/>
    <w:rsid w:val="002B3FBD"/>
    <w:rsid w:val="00303F4E"/>
    <w:rsid w:val="00326D77"/>
    <w:rsid w:val="00381F5A"/>
    <w:rsid w:val="004023CF"/>
    <w:rsid w:val="00485D4F"/>
    <w:rsid w:val="00490859"/>
    <w:rsid w:val="004B5FC8"/>
    <w:rsid w:val="004D2CCD"/>
    <w:rsid w:val="004D5833"/>
    <w:rsid w:val="005300EE"/>
    <w:rsid w:val="00543926"/>
    <w:rsid w:val="00557072"/>
    <w:rsid w:val="005B4B56"/>
    <w:rsid w:val="005E0110"/>
    <w:rsid w:val="006175BF"/>
    <w:rsid w:val="00664E3E"/>
    <w:rsid w:val="00691B34"/>
    <w:rsid w:val="006A4DEC"/>
    <w:rsid w:val="006F76B6"/>
    <w:rsid w:val="00723FAC"/>
    <w:rsid w:val="0078696C"/>
    <w:rsid w:val="00794A42"/>
    <w:rsid w:val="007B44A5"/>
    <w:rsid w:val="007C6915"/>
    <w:rsid w:val="007D53BB"/>
    <w:rsid w:val="007F6872"/>
    <w:rsid w:val="00847A84"/>
    <w:rsid w:val="0086571F"/>
    <w:rsid w:val="008D0F7B"/>
    <w:rsid w:val="00902675"/>
    <w:rsid w:val="009670F8"/>
    <w:rsid w:val="009674D2"/>
    <w:rsid w:val="00983CE8"/>
    <w:rsid w:val="009E6671"/>
    <w:rsid w:val="00A41939"/>
    <w:rsid w:val="00A74760"/>
    <w:rsid w:val="00A839F8"/>
    <w:rsid w:val="00A83CBC"/>
    <w:rsid w:val="00AC1DD6"/>
    <w:rsid w:val="00B13A5D"/>
    <w:rsid w:val="00B9769E"/>
    <w:rsid w:val="00BC1FE6"/>
    <w:rsid w:val="00C15926"/>
    <w:rsid w:val="00C33CF7"/>
    <w:rsid w:val="00C859F2"/>
    <w:rsid w:val="00CD2902"/>
    <w:rsid w:val="00CD69F7"/>
    <w:rsid w:val="00D22298"/>
    <w:rsid w:val="00D637F7"/>
    <w:rsid w:val="00D95FD2"/>
    <w:rsid w:val="00DB3376"/>
    <w:rsid w:val="00E3316F"/>
    <w:rsid w:val="00EC6483"/>
    <w:rsid w:val="00F65DAF"/>
    <w:rsid w:val="00F84536"/>
    <w:rsid w:val="00FC68E4"/>
    <w:rsid w:val="00FD1030"/>
    <w:rsid w:val="00F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1689A"/>
  <w15:chartTrackingRefBased/>
  <w15:docId w15:val="{BEA2EA12-7AAB-48B3-8C3A-C664DAF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483"/>
  </w:style>
  <w:style w:type="paragraph" w:styleId="Footer">
    <w:name w:val="footer"/>
    <w:basedOn w:val="Normal"/>
    <w:link w:val="Foot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483"/>
  </w:style>
  <w:style w:type="paragraph" w:styleId="ListParagraph">
    <w:name w:val="List Paragraph"/>
    <w:basedOn w:val="Normal"/>
    <w:uiPriority w:val="34"/>
    <w:qFormat/>
    <w:rsid w:val="009E6671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983CE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7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4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4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4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39FCAB7D39749BC91D0A9D7DD05C5" ma:contentTypeVersion="10" ma:contentTypeDescription="Create a new document." ma:contentTypeScope="" ma:versionID="b7da7852ab9b378db040a503e242d4b2">
  <xsd:schema xmlns:xsd="http://www.w3.org/2001/XMLSchema" xmlns:xs="http://www.w3.org/2001/XMLSchema" xmlns:p="http://schemas.microsoft.com/office/2006/metadata/properties" xmlns:ns3="0da8174d-e5fe-410c-b9d9-7cab1522c90c" targetNamespace="http://schemas.microsoft.com/office/2006/metadata/properties" ma:root="true" ma:fieldsID="8763b2cac0f11e0d15444c4f23178a3c" ns3:_="">
    <xsd:import namespace="0da8174d-e5fe-410c-b9d9-7cab1522c9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8174d-e5fe-410c-b9d9-7cab1522c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FA13B-A517-4537-AB22-07AFB46F7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F9EDC0-FC5B-4AF0-9C67-B116981EF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E0FDB-B6AB-4FDC-8BFD-EDE81767E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8174d-e5fe-410c-b9d9-7cab1522c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TPIAT AND PANCREATIC SURGERY                    VACCINATION opSI GUIDELINES</vt:lpstr>
    </vt:vector>
  </TitlesOfParts>
  <Company>Cincinnati Children's Hospital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TPIAT AND PANCREATIC SURGERY                    VACCINATION opSI GUIDELINE</dc:title>
  <dc:subject/>
  <dc:creator>Paxton, Lisa</dc:creator>
  <cp:keywords/>
  <dc:description/>
  <cp:lastModifiedBy>Heinzman, Christie</cp:lastModifiedBy>
  <cp:revision>3</cp:revision>
  <cp:lastPrinted>2019-12-02T17:05:00Z</cp:lastPrinted>
  <dcterms:created xsi:type="dcterms:W3CDTF">2019-12-02T17:04:00Z</dcterms:created>
  <dcterms:modified xsi:type="dcterms:W3CDTF">2019-12-02T17:11:00Z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0x0101009C939FCAB7D39749BC91D0A9D7DD05C5</vt:lpwstr>
  </property>
</Properties>
</file>