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85DF68" w14:textId="7E942DAE" w:rsidR="00586D03" w:rsidRDefault="004D4309" w:rsidP="0020745B">
      <w:pPr>
        <w:pStyle w:val="ListParagraph"/>
        <w:spacing w:after="0"/>
        <w:ind w:left="0"/>
        <w:rPr>
          <w:rStyle w:val="Hyperlink"/>
          <w:rFonts w:ascii="Arial" w:hAnsi="Arial" w:cs="Arial"/>
          <w:color w:val="auto"/>
          <w:sz w:val="24"/>
          <w:szCs w:val="24"/>
          <w:u w:val="none"/>
        </w:rPr>
      </w:pPr>
      <w:r>
        <w:rPr>
          <w:rStyle w:val="Hyperlink"/>
          <w:rFonts w:ascii="Arial" w:hAnsi="Arial" w:cs="Arial"/>
          <w:color w:val="auto"/>
          <w:sz w:val="24"/>
          <w:szCs w:val="24"/>
          <w:u w:val="none"/>
        </w:rPr>
        <w:t xml:space="preserve">Total pancreatectomy with islet autotransplantation (TPIAT) is a surgical treatment for patients with </w:t>
      </w:r>
      <w:r w:rsidR="00445105">
        <w:rPr>
          <w:rStyle w:val="Hyperlink"/>
          <w:rFonts w:ascii="Arial" w:hAnsi="Arial" w:cs="Arial"/>
          <w:color w:val="auto"/>
          <w:sz w:val="24"/>
          <w:szCs w:val="24"/>
          <w:u w:val="none"/>
        </w:rPr>
        <w:t xml:space="preserve">debilitating </w:t>
      </w:r>
      <w:r>
        <w:rPr>
          <w:rStyle w:val="Hyperlink"/>
          <w:rFonts w:ascii="Arial" w:hAnsi="Arial" w:cs="Arial"/>
          <w:color w:val="auto"/>
          <w:sz w:val="24"/>
          <w:szCs w:val="24"/>
          <w:u w:val="none"/>
        </w:rPr>
        <w:t>chronic pancreatitis</w:t>
      </w:r>
      <w:r w:rsidR="00445105">
        <w:rPr>
          <w:rStyle w:val="Hyperlink"/>
          <w:rFonts w:ascii="Arial" w:hAnsi="Arial" w:cs="Arial"/>
          <w:color w:val="auto"/>
          <w:sz w:val="24"/>
          <w:szCs w:val="24"/>
          <w:u w:val="none"/>
        </w:rPr>
        <w:t xml:space="preserve"> or acute recurrent pancreatitis</w:t>
      </w:r>
      <w:r>
        <w:rPr>
          <w:rStyle w:val="Hyperlink"/>
          <w:rFonts w:ascii="Arial" w:hAnsi="Arial" w:cs="Arial"/>
          <w:color w:val="auto"/>
          <w:sz w:val="24"/>
          <w:szCs w:val="24"/>
          <w:u w:val="none"/>
        </w:rPr>
        <w:t xml:space="preserve">. The surgery consists of removal of the pancreas, splenectomy, and a choledochojejunostomy or hepaticojejunostomy (roux-en-Y jejunal limb sutured to the bile duct to allow bile to drain into the intestine). In order to mitigate diabetes, the pancreatic islets are enzymatically and mechanically removed from the pancreas and autotransplanted into the liver via portal vein infusion during the procedure. </w:t>
      </w:r>
    </w:p>
    <w:p w14:paraId="77D867FA" w14:textId="77777777" w:rsidR="00586D03" w:rsidRDefault="00586D03" w:rsidP="0020745B">
      <w:pPr>
        <w:pStyle w:val="ListParagraph"/>
        <w:spacing w:after="0"/>
        <w:ind w:left="0"/>
        <w:rPr>
          <w:rStyle w:val="Hyperlink"/>
          <w:rFonts w:ascii="Arial" w:hAnsi="Arial" w:cs="Arial"/>
          <w:color w:val="auto"/>
          <w:sz w:val="24"/>
          <w:szCs w:val="24"/>
          <w:u w:val="none"/>
        </w:rPr>
      </w:pPr>
    </w:p>
    <w:p w14:paraId="4419E1CC" w14:textId="5421B3FF" w:rsidR="00586D03" w:rsidRDefault="004D4309" w:rsidP="0020745B">
      <w:pPr>
        <w:pStyle w:val="ListParagraph"/>
        <w:spacing w:after="0"/>
        <w:ind w:left="0"/>
        <w:rPr>
          <w:rStyle w:val="Hyperlink"/>
          <w:rFonts w:ascii="Arial" w:hAnsi="Arial" w:cs="Arial"/>
          <w:color w:val="auto"/>
          <w:sz w:val="24"/>
          <w:szCs w:val="24"/>
          <w:u w:val="none"/>
        </w:rPr>
      </w:pPr>
      <w:r>
        <w:rPr>
          <w:rStyle w:val="Hyperlink"/>
          <w:rFonts w:ascii="Arial" w:hAnsi="Arial" w:cs="Arial"/>
          <w:color w:val="auto"/>
          <w:sz w:val="24"/>
          <w:szCs w:val="24"/>
          <w:u w:val="none"/>
        </w:rPr>
        <w:t>An enigm</w:t>
      </w:r>
      <w:r w:rsidR="00586D03">
        <w:rPr>
          <w:rStyle w:val="Hyperlink"/>
          <w:rFonts w:ascii="Arial" w:hAnsi="Arial" w:cs="Arial"/>
          <w:color w:val="auto"/>
          <w:sz w:val="24"/>
          <w:szCs w:val="24"/>
          <w:u w:val="none"/>
        </w:rPr>
        <w:t xml:space="preserve">atic, but consistent </w:t>
      </w:r>
      <w:r>
        <w:rPr>
          <w:rStyle w:val="Hyperlink"/>
          <w:rFonts w:ascii="Arial" w:hAnsi="Arial" w:cs="Arial"/>
          <w:color w:val="auto"/>
          <w:sz w:val="24"/>
          <w:szCs w:val="24"/>
          <w:u w:val="none"/>
        </w:rPr>
        <w:t>complication of this procedure</w:t>
      </w:r>
      <w:r w:rsidR="00586D03">
        <w:rPr>
          <w:rStyle w:val="Hyperlink"/>
          <w:rFonts w:ascii="Arial" w:hAnsi="Arial" w:cs="Arial"/>
          <w:color w:val="auto"/>
          <w:sz w:val="24"/>
          <w:szCs w:val="24"/>
          <w:u w:val="none"/>
        </w:rPr>
        <w:t xml:space="preserve"> is a significant and sustained </w:t>
      </w:r>
      <w:r w:rsidR="00F04B79">
        <w:rPr>
          <w:rStyle w:val="Hyperlink"/>
          <w:rFonts w:ascii="Arial" w:hAnsi="Arial" w:cs="Arial"/>
          <w:color w:val="auto"/>
          <w:sz w:val="24"/>
          <w:szCs w:val="24"/>
          <w:u w:val="none"/>
        </w:rPr>
        <w:t>thrombocytosis, higher</w:t>
      </w:r>
      <w:r w:rsidR="006D4448">
        <w:rPr>
          <w:rStyle w:val="Hyperlink"/>
          <w:rFonts w:ascii="Arial" w:hAnsi="Arial" w:cs="Arial"/>
          <w:color w:val="auto"/>
          <w:sz w:val="24"/>
          <w:szCs w:val="24"/>
          <w:u w:val="none"/>
        </w:rPr>
        <w:t xml:space="preserve"> than observed after</w:t>
      </w:r>
      <w:r w:rsidR="00586D03">
        <w:rPr>
          <w:rStyle w:val="Hyperlink"/>
          <w:rFonts w:ascii="Arial" w:hAnsi="Arial" w:cs="Arial"/>
          <w:color w:val="auto"/>
          <w:sz w:val="24"/>
          <w:szCs w:val="24"/>
          <w:u w:val="none"/>
        </w:rPr>
        <w:t xml:space="preserve"> splenectomy</w:t>
      </w:r>
      <w:r w:rsidR="006D4448">
        <w:rPr>
          <w:rStyle w:val="Hyperlink"/>
          <w:rFonts w:ascii="Arial" w:hAnsi="Arial" w:cs="Arial"/>
          <w:color w:val="auto"/>
          <w:sz w:val="24"/>
          <w:szCs w:val="24"/>
          <w:u w:val="none"/>
        </w:rPr>
        <w:t xml:space="preserve"> </w:t>
      </w:r>
      <w:r w:rsidR="00F04B79">
        <w:rPr>
          <w:rStyle w:val="Hyperlink"/>
          <w:rFonts w:ascii="Arial" w:hAnsi="Arial" w:cs="Arial"/>
          <w:color w:val="auto"/>
          <w:sz w:val="24"/>
          <w:szCs w:val="24"/>
          <w:u w:val="none"/>
        </w:rPr>
        <w:t>alone that</w:t>
      </w:r>
      <w:r w:rsidR="00586D03">
        <w:rPr>
          <w:rStyle w:val="Hyperlink"/>
          <w:rFonts w:ascii="Arial" w:hAnsi="Arial" w:cs="Arial"/>
          <w:color w:val="auto"/>
          <w:sz w:val="24"/>
          <w:szCs w:val="24"/>
          <w:u w:val="none"/>
        </w:rPr>
        <w:t xml:space="preserve"> is sustained for a long period of time. Platelet counts typically rise to &gt;1,000,000 within 1 week of the procedure and remain elevated at &gt;1,000,000 for up to a year or longer. A review of over 100 pediatric patients undergoing TPIAT at the University of Minnesota (the pioneers of the procedure), as well as our own experience at CCHMC, demonstrate that this degree of thrombocytosis is typical. The etiology of the thrombocytosis is poorly understood. We have some data generated locally to suggest that </w:t>
      </w:r>
      <w:r w:rsidR="00445105">
        <w:rPr>
          <w:rStyle w:val="Hyperlink"/>
          <w:rFonts w:ascii="Arial" w:hAnsi="Arial" w:cs="Arial"/>
          <w:color w:val="auto"/>
          <w:sz w:val="24"/>
          <w:szCs w:val="24"/>
          <w:u w:val="none"/>
        </w:rPr>
        <w:t>thrombopoietin (</w:t>
      </w:r>
      <w:r w:rsidR="00586D03">
        <w:rPr>
          <w:rStyle w:val="Hyperlink"/>
          <w:rFonts w:ascii="Arial" w:hAnsi="Arial" w:cs="Arial"/>
          <w:color w:val="auto"/>
          <w:sz w:val="24"/>
          <w:szCs w:val="24"/>
          <w:u w:val="none"/>
        </w:rPr>
        <w:t>TPO</w:t>
      </w:r>
      <w:r w:rsidR="00445105">
        <w:rPr>
          <w:rStyle w:val="Hyperlink"/>
          <w:rFonts w:ascii="Arial" w:hAnsi="Arial" w:cs="Arial"/>
          <w:color w:val="auto"/>
          <w:sz w:val="24"/>
          <w:szCs w:val="24"/>
          <w:u w:val="none"/>
        </w:rPr>
        <w:t>)</w:t>
      </w:r>
      <w:r w:rsidR="00586D03">
        <w:rPr>
          <w:rStyle w:val="Hyperlink"/>
          <w:rFonts w:ascii="Arial" w:hAnsi="Arial" w:cs="Arial"/>
          <w:color w:val="auto"/>
          <w:sz w:val="24"/>
          <w:szCs w:val="24"/>
          <w:u w:val="none"/>
        </w:rPr>
        <w:t xml:space="preserve"> derangement of hepatocyte-derived TPO secretion is possible, but the data is not definitive. </w:t>
      </w:r>
    </w:p>
    <w:p w14:paraId="2FF8323E" w14:textId="77777777" w:rsidR="00586D03" w:rsidRDefault="00586D03" w:rsidP="0020745B">
      <w:pPr>
        <w:pStyle w:val="ListParagraph"/>
        <w:spacing w:after="0"/>
        <w:ind w:left="0"/>
        <w:rPr>
          <w:rStyle w:val="Hyperlink"/>
          <w:rFonts w:ascii="Arial" w:hAnsi="Arial" w:cs="Arial"/>
          <w:color w:val="auto"/>
          <w:sz w:val="24"/>
          <w:szCs w:val="24"/>
          <w:u w:val="none"/>
        </w:rPr>
      </w:pPr>
    </w:p>
    <w:p w14:paraId="5FAC33E9" w14:textId="0CA000E5" w:rsidR="00E3316F" w:rsidRDefault="00586D03" w:rsidP="0020745B">
      <w:pPr>
        <w:pStyle w:val="ListParagraph"/>
        <w:spacing w:after="0"/>
        <w:ind w:left="0"/>
        <w:rPr>
          <w:rStyle w:val="Hyperlink"/>
          <w:rFonts w:ascii="Arial" w:hAnsi="Arial" w:cs="Arial"/>
          <w:color w:val="auto"/>
          <w:sz w:val="24"/>
          <w:szCs w:val="24"/>
          <w:u w:val="none"/>
        </w:rPr>
      </w:pPr>
      <w:r>
        <w:rPr>
          <w:rStyle w:val="Hyperlink"/>
          <w:rFonts w:ascii="Arial" w:hAnsi="Arial" w:cs="Arial"/>
          <w:color w:val="auto"/>
          <w:sz w:val="24"/>
          <w:szCs w:val="24"/>
          <w:u w:val="none"/>
        </w:rPr>
        <w:t xml:space="preserve">As the etiology of thrombocytosis is unclear, the potential thrombogenicity is also unknown. Of particular concern is the potential for portal vein thrombosis given the manipulation of the portal vein. To date, no natural history studies of patients undergoing TPIAT with untreated thrombocytosis have been done. Therefore, we have elected to follow a therapeutic plan </w:t>
      </w:r>
      <w:r w:rsidR="006D4448">
        <w:rPr>
          <w:rStyle w:val="Hyperlink"/>
          <w:rFonts w:ascii="Arial" w:hAnsi="Arial" w:cs="Arial"/>
          <w:color w:val="auto"/>
          <w:sz w:val="24"/>
          <w:szCs w:val="24"/>
          <w:u w:val="none"/>
        </w:rPr>
        <w:t>for</w:t>
      </w:r>
      <w:r>
        <w:rPr>
          <w:rStyle w:val="Hyperlink"/>
          <w:rFonts w:ascii="Arial" w:hAnsi="Arial" w:cs="Arial"/>
          <w:color w:val="auto"/>
          <w:sz w:val="24"/>
          <w:szCs w:val="24"/>
          <w:u w:val="none"/>
        </w:rPr>
        <w:t xml:space="preserve"> the thrombocytosis developed at the University of Minnesota using a combination of Hydroxyurea and </w:t>
      </w:r>
      <w:r w:rsidR="00445105">
        <w:rPr>
          <w:rStyle w:val="Hyperlink"/>
          <w:rFonts w:ascii="Arial" w:hAnsi="Arial" w:cs="Arial"/>
          <w:color w:val="auto"/>
          <w:sz w:val="24"/>
          <w:szCs w:val="24"/>
          <w:u w:val="none"/>
        </w:rPr>
        <w:t>aspirin</w:t>
      </w:r>
      <w:r>
        <w:rPr>
          <w:rStyle w:val="Hyperlink"/>
          <w:rFonts w:ascii="Arial" w:hAnsi="Arial" w:cs="Arial"/>
          <w:color w:val="auto"/>
          <w:sz w:val="24"/>
          <w:szCs w:val="24"/>
          <w:u w:val="none"/>
        </w:rPr>
        <w:t xml:space="preserve">. Note that while using this approach in over 100 pediatric patients, the team at the University of Minnesota states (personal communication) that they have had excellent outcomes overall and no significant complications related to therapy. </w:t>
      </w:r>
    </w:p>
    <w:p w14:paraId="6C50651B" w14:textId="77777777" w:rsidR="00586D03" w:rsidRPr="00586D03" w:rsidRDefault="00586D03" w:rsidP="0020745B">
      <w:pPr>
        <w:pStyle w:val="ListParagraph"/>
        <w:spacing w:after="0"/>
        <w:ind w:left="0"/>
        <w:rPr>
          <w:rStyle w:val="Hyperlink"/>
          <w:rFonts w:ascii="Arial" w:hAnsi="Arial" w:cs="Arial"/>
          <w:color w:val="auto"/>
          <w:sz w:val="24"/>
          <w:szCs w:val="24"/>
        </w:rPr>
      </w:pPr>
    </w:p>
    <w:p w14:paraId="6343B97D" w14:textId="714EFFB8" w:rsidR="00586D03" w:rsidRDefault="00586D03" w:rsidP="0020745B">
      <w:pPr>
        <w:pStyle w:val="ListParagraph"/>
        <w:spacing w:after="0"/>
        <w:ind w:left="0"/>
        <w:rPr>
          <w:rStyle w:val="Hyperlink"/>
          <w:rFonts w:ascii="Arial" w:hAnsi="Arial" w:cs="Arial"/>
          <w:color w:val="auto"/>
          <w:sz w:val="24"/>
          <w:szCs w:val="24"/>
        </w:rPr>
      </w:pPr>
      <w:r w:rsidRPr="00586D03">
        <w:rPr>
          <w:rStyle w:val="Hyperlink"/>
          <w:rFonts w:ascii="Arial" w:hAnsi="Arial" w:cs="Arial"/>
          <w:color w:val="auto"/>
          <w:sz w:val="24"/>
          <w:szCs w:val="24"/>
        </w:rPr>
        <w:t xml:space="preserve">Hydroxyurea and ASA </w:t>
      </w:r>
      <w:r w:rsidR="006D4448">
        <w:rPr>
          <w:rStyle w:val="Hyperlink"/>
          <w:rFonts w:ascii="Arial" w:hAnsi="Arial" w:cs="Arial"/>
          <w:color w:val="auto"/>
          <w:sz w:val="24"/>
          <w:szCs w:val="24"/>
        </w:rPr>
        <w:t>M</w:t>
      </w:r>
      <w:r w:rsidR="006D4448" w:rsidRPr="00586D03">
        <w:rPr>
          <w:rStyle w:val="Hyperlink"/>
          <w:rFonts w:ascii="Arial" w:hAnsi="Arial" w:cs="Arial"/>
          <w:color w:val="auto"/>
          <w:sz w:val="24"/>
          <w:szCs w:val="24"/>
        </w:rPr>
        <w:t>anagement</w:t>
      </w:r>
      <w:r w:rsidR="00C35AA8">
        <w:rPr>
          <w:rStyle w:val="CommentReference"/>
          <w:rFonts w:ascii="Arial" w:hAnsi="Arial"/>
        </w:rPr>
        <w:commentReference w:id="0"/>
      </w:r>
    </w:p>
    <w:p w14:paraId="382FD3D7" w14:textId="77777777" w:rsidR="00060480" w:rsidRDefault="00060480" w:rsidP="0020745B">
      <w:pPr>
        <w:pStyle w:val="ListParagraph"/>
        <w:spacing w:after="0"/>
        <w:ind w:left="0"/>
        <w:rPr>
          <w:rStyle w:val="Hyperlink"/>
          <w:rFonts w:ascii="Arial" w:hAnsi="Arial" w:cs="Arial"/>
          <w:color w:val="auto"/>
          <w:sz w:val="24"/>
          <w:szCs w:val="24"/>
        </w:rPr>
      </w:pPr>
      <w:r>
        <w:rPr>
          <w:rStyle w:val="Hyperlink"/>
          <w:rFonts w:ascii="Arial" w:hAnsi="Arial" w:cs="Arial"/>
          <w:color w:val="auto"/>
          <w:sz w:val="24"/>
          <w:szCs w:val="24"/>
        </w:rPr>
        <w:t xml:space="preserve">Pre-operative: </w:t>
      </w:r>
    </w:p>
    <w:p w14:paraId="1DDEBA5F" w14:textId="4BA23DA2" w:rsidR="00060480" w:rsidRDefault="00060480" w:rsidP="00060480">
      <w:pPr>
        <w:pStyle w:val="ListParagraph"/>
        <w:numPr>
          <w:ilvl w:val="0"/>
          <w:numId w:val="10"/>
        </w:numPr>
        <w:spacing w:after="0"/>
        <w:ind w:left="360"/>
        <w:rPr>
          <w:rStyle w:val="Hyperlink"/>
          <w:rFonts w:ascii="Arial" w:hAnsi="Arial" w:cs="Arial"/>
          <w:color w:val="auto"/>
          <w:sz w:val="24"/>
          <w:szCs w:val="24"/>
        </w:rPr>
      </w:pPr>
      <w:r>
        <w:rPr>
          <w:rStyle w:val="Hyperlink"/>
          <w:rFonts w:ascii="Arial" w:hAnsi="Arial" w:cs="Arial"/>
          <w:color w:val="auto"/>
          <w:sz w:val="24"/>
          <w:szCs w:val="24"/>
          <w:u w:val="none"/>
        </w:rPr>
        <w:t>Obtain the following pre-operative labs: ferritin, soluble transferrin receptor, serum iron, TIBC, RBC folate, Vitamin B12, methylmalonic acid, homocysteine risk factor assay</w:t>
      </w:r>
      <w:r w:rsidR="006D4448">
        <w:rPr>
          <w:rStyle w:val="Hyperlink"/>
          <w:rFonts w:ascii="Arial" w:hAnsi="Arial" w:cs="Arial"/>
          <w:color w:val="auto"/>
          <w:sz w:val="24"/>
          <w:szCs w:val="24"/>
          <w:u w:val="none"/>
        </w:rPr>
        <w:t xml:space="preserve">, CBC and reticulocyte </w:t>
      </w:r>
      <w:commentRangeStart w:id="1"/>
      <w:commentRangeStart w:id="2"/>
      <w:r w:rsidR="006D4448">
        <w:rPr>
          <w:rStyle w:val="Hyperlink"/>
          <w:rFonts w:ascii="Arial" w:hAnsi="Arial" w:cs="Arial"/>
          <w:color w:val="auto"/>
          <w:sz w:val="24"/>
          <w:szCs w:val="24"/>
          <w:u w:val="none"/>
        </w:rPr>
        <w:t>count</w:t>
      </w:r>
      <w:commentRangeEnd w:id="1"/>
      <w:r w:rsidR="006D4448">
        <w:rPr>
          <w:rStyle w:val="CommentReference"/>
          <w:rFonts w:ascii="Arial" w:hAnsi="Arial"/>
        </w:rPr>
        <w:commentReference w:id="1"/>
      </w:r>
      <w:commentRangeEnd w:id="2"/>
      <w:r w:rsidR="00AC4289">
        <w:rPr>
          <w:rStyle w:val="CommentReference"/>
          <w:rFonts w:ascii="Arial" w:hAnsi="Arial"/>
        </w:rPr>
        <w:commentReference w:id="2"/>
      </w:r>
      <w:r w:rsidR="00AC4289">
        <w:rPr>
          <w:rStyle w:val="Hyperlink"/>
          <w:rFonts w:ascii="Arial" w:hAnsi="Arial" w:cs="Arial"/>
          <w:color w:val="auto"/>
          <w:sz w:val="24"/>
          <w:szCs w:val="24"/>
          <w:u w:val="none"/>
        </w:rPr>
        <w:t xml:space="preserve">, TPO level </w:t>
      </w:r>
    </w:p>
    <w:p w14:paraId="04A08B22" w14:textId="77777777" w:rsidR="00060480" w:rsidRDefault="00060480" w:rsidP="00060480">
      <w:pPr>
        <w:pStyle w:val="ListParagraph"/>
        <w:spacing w:after="0"/>
        <w:ind w:left="360"/>
        <w:rPr>
          <w:rStyle w:val="Hyperlink"/>
          <w:rFonts w:ascii="Arial" w:hAnsi="Arial" w:cs="Arial"/>
          <w:color w:val="auto"/>
          <w:sz w:val="24"/>
          <w:szCs w:val="24"/>
        </w:rPr>
      </w:pPr>
    </w:p>
    <w:p w14:paraId="1E0648CE" w14:textId="77777777" w:rsidR="00060480" w:rsidRPr="00060480" w:rsidRDefault="00060480" w:rsidP="00060480">
      <w:pPr>
        <w:pStyle w:val="ListParagraph"/>
        <w:spacing w:after="0"/>
        <w:ind w:left="0"/>
        <w:rPr>
          <w:rStyle w:val="Hyperlink"/>
          <w:rFonts w:ascii="Arial" w:hAnsi="Arial" w:cs="Arial"/>
          <w:color w:val="auto"/>
          <w:sz w:val="24"/>
          <w:szCs w:val="24"/>
        </w:rPr>
      </w:pPr>
      <w:r>
        <w:rPr>
          <w:rStyle w:val="Hyperlink"/>
          <w:rFonts w:ascii="Arial" w:hAnsi="Arial" w:cs="Arial"/>
          <w:color w:val="auto"/>
          <w:sz w:val="24"/>
          <w:szCs w:val="24"/>
        </w:rPr>
        <w:t>Intra</w:t>
      </w:r>
      <w:r w:rsidRPr="00060480">
        <w:rPr>
          <w:rStyle w:val="Hyperlink"/>
          <w:rFonts w:ascii="Arial" w:hAnsi="Arial" w:cs="Arial"/>
          <w:color w:val="auto"/>
          <w:sz w:val="24"/>
          <w:szCs w:val="24"/>
        </w:rPr>
        <w:t xml:space="preserve">-operative: </w:t>
      </w:r>
    </w:p>
    <w:p w14:paraId="08D59874" w14:textId="2A2344D2" w:rsidR="00F03356" w:rsidRDefault="00F03356" w:rsidP="00586D03">
      <w:pPr>
        <w:pStyle w:val="ListParagraph"/>
        <w:numPr>
          <w:ilvl w:val="0"/>
          <w:numId w:val="10"/>
        </w:numPr>
        <w:spacing w:after="0"/>
        <w:ind w:left="360"/>
        <w:rPr>
          <w:rStyle w:val="Hyperlink"/>
          <w:rFonts w:ascii="Arial" w:hAnsi="Arial" w:cs="Arial"/>
          <w:color w:val="auto"/>
          <w:sz w:val="24"/>
          <w:szCs w:val="24"/>
          <w:u w:val="none"/>
        </w:rPr>
      </w:pPr>
      <w:r>
        <w:rPr>
          <w:rStyle w:val="Hyperlink"/>
          <w:rFonts w:ascii="Arial" w:hAnsi="Arial" w:cs="Arial"/>
          <w:color w:val="auto"/>
          <w:sz w:val="24"/>
          <w:szCs w:val="24"/>
          <w:u w:val="none"/>
        </w:rPr>
        <w:t xml:space="preserve">Bolus 35 </w:t>
      </w:r>
      <w:r w:rsidR="001703CE">
        <w:rPr>
          <w:rStyle w:val="Hyperlink"/>
          <w:rFonts w:ascii="Arial" w:hAnsi="Arial" w:cs="Arial"/>
          <w:color w:val="auto"/>
          <w:sz w:val="24"/>
          <w:szCs w:val="24"/>
          <w:u w:val="none"/>
        </w:rPr>
        <w:t>units</w:t>
      </w:r>
      <w:r>
        <w:rPr>
          <w:rStyle w:val="Hyperlink"/>
          <w:rFonts w:ascii="Arial" w:hAnsi="Arial" w:cs="Arial"/>
          <w:color w:val="auto"/>
          <w:sz w:val="24"/>
          <w:szCs w:val="24"/>
          <w:u w:val="none"/>
        </w:rPr>
        <w:t>/kg heparin just prior to initiation of islet infusion.  Islet prep will also contain total of 35 U/kg heparin.</w:t>
      </w:r>
    </w:p>
    <w:p w14:paraId="7223DC2D" w14:textId="77777777" w:rsidR="00060480" w:rsidRDefault="00060480" w:rsidP="00586D03">
      <w:pPr>
        <w:pStyle w:val="ListParagraph"/>
        <w:numPr>
          <w:ilvl w:val="0"/>
          <w:numId w:val="10"/>
        </w:numPr>
        <w:spacing w:after="0"/>
        <w:ind w:left="360"/>
        <w:rPr>
          <w:rStyle w:val="Hyperlink"/>
          <w:rFonts w:ascii="Arial" w:hAnsi="Arial" w:cs="Arial"/>
          <w:color w:val="auto"/>
          <w:sz w:val="24"/>
          <w:szCs w:val="24"/>
          <w:u w:val="none"/>
        </w:rPr>
      </w:pPr>
      <w:r>
        <w:rPr>
          <w:rStyle w:val="Hyperlink"/>
          <w:rFonts w:ascii="Arial" w:hAnsi="Arial" w:cs="Arial"/>
          <w:color w:val="auto"/>
          <w:sz w:val="24"/>
          <w:szCs w:val="24"/>
          <w:u w:val="none"/>
        </w:rPr>
        <w:lastRenderedPageBreak/>
        <w:t>Initiate a prophylactic heparin drip (10 units/kg/hr) starting intraoperatively, when the intraoperative ACT is &lt;150 seconds AND at the discretion of the surgical team</w:t>
      </w:r>
    </w:p>
    <w:p w14:paraId="64C2A647" w14:textId="77777777" w:rsidR="00060480" w:rsidRDefault="00060480" w:rsidP="00060480">
      <w:pPr>
        <w:spacing w:after="0"/>
        <w:rPr>
          <w:rStyle w:val="Hyperlink"/>
          <w:rFonts w:cs="Arial"/>
          <w:color w:val="auto"/>
          <w:szCs w:val="24"/>
        </w:rPr>
      </w:pPr>
    </w:p>
    <w:p w14:paraId="1A71DC6B" w14:textId="77777777" w:rsidR="00060480" w:rsidRPr="00060480" w:rsidRDefault="00060480" w:rsidP="00060480">
      <w:pPr>
        <w:spacing w:after="0"/>
        <w:rPr>
          <w:rStyle w:val="Hyperlink"/>
          <w:rFonts w:cs="Arial"/>
          <w:color w:val="auto"/>
          <w:szCs w:val="24"/>
        </w:rPr>
      </w:pPr>
    </w:p>
    <w:p w14:paraId="1D21BA8F" w14:textId="77777777" w:rsidR="00060480" w:rsidRPr="00060480" w:rsidRDefault="00060480" w:rsidP="00060480">
      <w:pPr>
        <w:spacing w:after="0"/>
        <w:rPr>
          <w:rStyle w:val="Hyperlink"/>
          <w:rFonts w:cs="Arial"/>
          <w:color w:val="auto"/>
          <w:szCs w:val="24"/>
        </w:rPr>
      </w:pPr>
      <w:r w:rsidRPr="00060480">
        <w:rPr>
          <w:rStyle w:val="Hyperlink"/>
          <w:rFonts w:cs="Arial"/>
          <w:color w:val="auto"/>
          <w:szCs w:val="24"/>
        </w:rPr>
        <w:t>Post-operative</w:t>
      </w:r>
      <w:r>
        <w:rPr>
          <w:rStyle w:val="Hyperlink"/>
          <w:rFonts w:cs="Arial"/>
          <w:color w:val="auto"/>
          <w:szCs w:val="24"/>
        </w:rPr>
        <w:t xml:space="preserve"> medications and lab monitoring</w:t>
      </w:r>
      <w:r w:rsidRPr="00060480">
        <w:rPr>
          <w:rStyle w:val="Hyperlink"/>
          <w:rFonts w:cs="Arial"/>
          <w:color w:val="auto"/>
          <w:szCs w:val="24"/>
        </w:rPr>
        <w:t xml:space="preserve">: </w:t>
      </w:r>
    </w:p>
    <w:p w14:paraId="69422535" w14:textId="48FD6F9B" w:rsidR="00255806" w:rsidRPr="00F04B79" w:rsidRDefault="00060480" w:rsidP="00060480">
      <w:pPr>
        <w:pStyle w:val="ListParagraph"/>
        <w:numPr>
          <w:ilvl w:val="0"/>
          <w:numId w:val="11"/>
        </w:numPr>
        <w:spacing w:after="0"/>
        <w:ind w:left="360"/>
        <w:rPr>
          <w:rStyle w:val="Hyperlink"/>
          <w:rFonts w:ascii="Arial" w:hAnsi="Arial" w:cs="Arial"/>
          <w:color w:val="auto"/>
          <w:sz w:val="24"/>
          <w:szCs w:val="24"/>
          <w:u w:val="none"/>
        </w:rPr>
      </w:pPr>
      <w:r w:rsidRPr="00F04B79">
        <w:rPr>
          <w:rStyle w:val="Hyperlink"/>
          <w:rFonts w:ascii="Arial" w:hAnsi="Arial" w:cs="Arial"/>
          <w:color w:val="auto"/>
          <w:sz w:val="24"/>
          <w:szCs w:val="24"/>
          <w:u w:val="none"/>
        </w:rPr>
        <w:t>Heparin drip</w:t>
      </w:r>
      <w:r w:rsidR="006D4448" w:rsidRPr="00F04B79">
        <w:rPr>
          <w:rStyle w:val="Hyperlink"/>
          <w:rFonts w:ascii="Arial" w:hAnsi="Arial" w:cs="Arial"/>
          <w:color w:val="auto"/>
          <w:sz w:val="24"/>
          <w:szCs w:val="24"/>
          <w:u w:val="none"/>
        </w:rPr>
        <w:t xml:space="preserve"> (prophylactic)</w:t>
      </w:r>
      <w:r w:rsidRPr="00F04B79">
        <w:rPr>
          <w:rStyle w:val="Hyperlink"/>
          <w:rFonts w:ascii="Arial" w:hAnsi="Arial" w:cs="Arial"/>
          <w:color w:val="auto"/>
          <w:sz w:val="24"/>
          <w:szCs w:val="24"/>
          <w:u w:val="none"/>
        </w:rPr>
        <w:t xml:space="preserve"> should be continued for 7 days post-</w:t>
      </w:r>
      <w:commentRangeStart w:id="3"/>
      <w:r w:rsidRPr="00F04B79">
        <w:rPr>
          <w:rStyle w:val="Hyperlink"/>
          <w:rFonts w:ascii="Arial" w:hAnsi="Arial" w:cs="Arial"/>
          <w:color w:val="auto"/>
          <w:sz w:val="24"/>
          <w:szCs w:val="24"/>
          <w:u w:val="none"/>
        </w:rPr>
        <w:t>operatively</w:t>
      </w:r>
      <w:commentRangeEnd w:id="3"/>
    </w:p>
    <w:p w14:paraId="31FEB094" w14:textId="4C63EF87" w:rsidR="00060480" w:rsidRPr="00F04B79" w:rsidRDefault="00255806" w:rsidP="00060480">
      <w:pPr>
        <w:pStyle w:val="ListParagraph"/>
        <w:numPr>
          <w:ilvl w:val="0"/>
          <w:numId w:val="11"/>
        </w:numPr>
        <w:spacing w:after="0"/>
        <w:ind w:left="360"/>
        <w:rPr>
          <w:rStyle w:val="Hyperlink"/>
          <w:rFonts w:ascii="Arial" w:hAnsi="Arial" w:cs="Arial"/>
          <w:color w:val="auto"/>
          <w:sz w:val="24"/>
          <w:szCs w:val="24"/>
          <w:u w:val="none"/>
        </w:rPr>
      </w:pPr>
      <w:r w:rsidRPr="00F04B79">
        <w:rPr>
          <w:rStyle w:val="Hyperlink"/>
          <w:rFonts w:ascii="Arial" w:hAnsi="Arial" w:cs="Arial"/>
          <w:color w:val="auto"/>
          <w:sz w:val="24"/>
          <w:szCs w:val="24"/>
          <w:u w:val="none"/>
        </w:rPr>
        <w:t xml:space="preserve">On POD 7, start prophylactic </w:t>
      </w:r>
      <w:commentRangeStart w:id="4"/>
      <w:r w:rsidRPr="00F04B79">
        <w:rPr>
          <w:rStyle w:val="Hyperlink"/>
          <w:rFonts w:ascii="Arial" w:hAnsi="Arial" w:cs="Arial"/>
          <w:color w:val="auto"/>
          <w:sz w:val="24"/>
          <w:szCs w:val="24"/>
          <w:u w:val="none"/>
        </w:rPr>
        <w:t>Lovenox</w:t>
      </w:r>
      <w:commentRangeEnd w:id="4"/>
      <w:r w:rsidR="006D4448" w:rsidRPr="00F04B79">
        <w:rPr>
          <w:rStyle w:val="CommentReference"/>
          <w:rFonts w:ascii="Arial" w:hAnsi="Arial"/>
        </w:rPr>
        <w:commentReference w:id="4"/>
      </w:r>
      <w:r w:rsidRPr="00F04B79">
        <w:rPr>
          <w:rStyle w:val="Hyperlink"/>
          <w:rFonts w:ascii="Arial" w:hAnsi="Arial" w:cs="Arial"/>
          <w:color w:val="auto"/>
          <w:sz w:val="24"/>
          <w:szCs w:val="24"/>
          <w:u w:val="none"/>
        </w:rPr>
        <w:t xml:space="preserve"> SQ for duration of hospitalization</w:t>
      </w:r>
      <w:r w:rsidR="00445105" w:rsidRPr="00F04B79">
        <w:rPr>
          <w:rStyle w:val="Hyperlink"/>
          <w:rFonts w:ascii="Arial" w:hAnsi="Arial" w:cs="Arial"/>
          <w:color w:val="auto"/>
          <w:sz w:val="24"/>
          <w:szCs w:val="24"/>
          <w:u w:val="none"/>
        </w:rPr>
        <w:t xml:space="preserve">. Dose frequency is based on patient weight and pharmacy recommendation. </w:t>
      </w:r>
      <w:r w:rsidR="00AC4289" w:rsidRPr="00F04B79">
        <w:rPr>
          <w:rStyle w:val="CommentReference"/>
          <w:rFonts w:ascii="Arial" w:hAnsi="Arial"/>
        </w:rPr>
        <w:commentReference w:id="3"/>
      </w:r>
    </w:p>
    <w:p w14:paraId="12C8F330" w14:textId="77777777" w:rsidR="00060480" w:rsidRPr="00F04B79" w:rsidRDefault="00060480" w:rsidP="00060480">
      <w:pPr>
        <w:pStyle w:val="ListParagraph"/>
        <w:numPr>
          <w:ilvl w:val="0"/>
          <w:numId w:val="11"/>
        </w:numPr>
        <w:spacing w:after="0"/>
        <w:ind w:left="360"/>
        <w:rPr>
          <w:rStyle w:val="Hyperlink"/>
          <w:rFonts w:ascii="Arial" w:hAnsi="Arial" w:cs="Arial"/>
          <w:color w:val="auto"/>
          <w:sz w:val="24"/>
          <w:szCs w:val="24"/>
          <w:u w:val="none"/>
        </w:rPr>
      </w:pPr>
      <w:r w:rsidRPr="00F04B79">
        <w:rPr>
          <w:rStyle w:val="Hyperlink"/>
          <w:rFonts w:ascii="Arial" w:hAnsi="Arial" w:cs="Arial"/>
          <w:color w:val="auto"/>
          <w:sz w:val="24"/>
          <w:szCs w:val="24"/>
          <w:u w:val="none"/>
        </w:rPr>
        <w:t xml:space="preserve">Start aspirin 2 mg/kg daily (max dose 162 mg – round to nearest 40.5 mg increment) on post-operative day 2 </w:t>
      </w:r>
    </w:p>
    <w:p w14:paraId="42262E9C" w14:textId="77777777" w:rsidR="00060480" w:rsidRPr="00F04B79" w:rsidRDefault="00060480" w:rsidP="00060480">
      <w:pPr>
        <w:pStyle w:val="ListParagraph"/>
        <w:numPr>
          <w:ilvl w:val="0"/>
          <w:numId w:val="12"/>
        </w:numPr>
        <w:spacing w:after="0"/>
        <w:rPr>
          <w:rStyle w:val="Hyperlink"/>
          <w:rFonts w:ascii="Arial" w:hAnsi="Arial" w:cs="Arial"/>
          <w:color w:val="auto"/>
          <w:sz w:val="24"/>
          <w:szCs w:val="24"/>
          <w:u w:val="none"/>
        </w:rPr>
      </w:pPr>
      <w:r w:rsidRPr="00F04B79">
        <w:rPr>
          <w:rStyle w:val="Hyperlink"/>
          <w:rFonts w:ascii="Arial" w:hAnsi="Arial" w:cs="Arial"/>
          <w:color w:val="auto"/>
          <w:sz w:val="24"/>
          <w:szCs w:val="24"/>
          <w:u w:val="none"/>
        </w:rPr>
        <w:t>Consider using non-enteric coated aspirin. Aspirin solution given via the J-port of the GJ tube is often used in the immediate post-operative period</w:t>
      </w:r>
    </w:p>
    <w:p w14:paraId="4DD6FD06" w14:textId="46A5AE4E" w:rsidR="00060480" w:rsidRDefault="00060480" w:rsidP="00060480">
      <w:pPr>
        <w:pStyle w:val="ListParagraph"/>
        <w:numPr>
          <w:ilvl w:val="0"/>
          <w:numId w:val="12"/>
        </w:numPr>
        <w:spacing w:after="0"/>
        <w:rPr>
          <w:rStyle w:val="Hyperlink"/>
          <w:rFonts w:ascii="Arial" w:hAnsi="Arial" w:cs="Arial"/>
          <w:color w:val="auto"/>
          <w:sz w:val="24"/>
          <w:szCs w:val="24"/>
          <w:u w:val="none"/>
        </w:rPr>
      </w:pPr>
      <w:r w:rsidRPr="00F04B79">
        <w:rPr>
          <w:rStyle w:val="Hyperlink"/>
          <w:rFonts w:ascii="Arial" w:hAnsi="Arial" w:cs="Arial"/>
          <w:color w:val="auto"/>
          <w:sz w:val="24"/>
          <w:szCs w:val="24"/>
          <w:u w:val="none"/>
        </w:rPr>
        <w:t xml:space="preserve">Obtain an Aspirin Resistance Test after 2-3 doses of aspirin to ensure there is no aspirin resistance. </w:t>
      </w:r>
      <w:r w:rsidR="001703CE" w:rsidRPr="00F04B79">
        <w:rPr>
          <w:rStyle w:val="Hyperlink"/>
          <w:rFonts w:ascii="Arial" w:hAnsi="Arial" w:cs="Arial"/>
          <w:color w:val="auto"/>
          <w:sz w:val="24"/>
          <w:szCs w:val="24"/>
          <w:u w:val="none"/>
        </w:rPr>
        <w:t>(Lab only available Monday – Friday</w:t>
      </w:r>
      <w:r w:rsidR="00741F10" w:rsidRPr="00F04B79">
        <w:rPr>
          <w:rStyle w:val="Hyperlink"/>
          <w:rFonts w:ascii="Arial" w:hAnsi="Arial" w:cs="Arial"/>
          <w:color w:val="auto"/>
          <w:sz w:val="24"/>
          <w:szCs w:val="24"/>
          <w:u w:val="none"/>
        </w:rPr>
        <w:t xml:space="preserve">, </w:t>
      </w:r>
      <w:r w:rsidR="00741F10">
        <w:rPr>
          <w:rStyle w:val="Hyperlink"/>
          <w:rFonts w:ascii="Arial" w:hAnsi="Arial" w:cs="Arial"/>
          <w:color w:val="auto"/>
          <w:sz w:val="24"/>
          <w:szCs w:val="24"/>
          <w:u w:val="none"/>
        </w:rPr>
        <w:t>8AM – 4PM</w:t>
      </w:r>
      <w:r w:rsidR="001703CE">
        <w:rPr>
          <w:rStyle w:val="Hyperlink"/>
          <w:rFonts w:ascii="Arial" w:hAnsi="Arial" w:cs="Arial"/>
          <w:color w:val="auto"/>
          <w:sz w:val="24"/>
          <w:szCs w:val="24"/>
          <w:u w:val="none"/>
        </w:rPr>
        <w:t>)</w:t>
      </w:r>
    </w:p>
    <w:p w14:paraId="4BB5ADAA" w14:textId="26140561" w:rsidR="00060480" w:rsidRDefault="00060480" w:rsidP="00060480">
      <w:pPr>
        <w:pStyle w:val="ListParagraph"/>
        <w:numPr>
          <w:ilvl w:val="0"/>
          <w:numId w:val="12"/>
        </w:numPr>
        <w:spacing w:after="0"/>
        <w:rPr>
          <w:rStyle w:val="Hyperlink"/>
          <w:rFonts w:ascii="Arial" w:hAnsi="Arial" w:cs="Arial"/>
          <w:color w:val="auto"/>
          <w:sz w:val="24"/>
          <w:szCs w:val="24"/>
          <w:u w:val="none"/>
        </w:rPr>
      </w:pPr>
      <w:r>
        <w:rPr>
          <w:rStyle w:val="Hyperlink"/>
          <w:rFonts w:ascii="Arial" w:hAnsi="Arial" w:cs="Arial"/>
          <w:color w:val="auto"/>
          <w:sz w:val="24"/>
          <w:szCs w:val="24"/>
          <w:u w:val="none"/>
        </w:rPr>
        <w:t>If aspirin resistance test is high (</w:t>
      </w:r>
      <w:r w:rsidR="00445105">
        <w:rPr>
          <w:rStyle w:val="Hyperlink"/>
          <w:rFonts w:ascii="Arial" w:hAnsi="Arial" w:cs="Arial"/>
          <w:color w:val="auto"/>
          <w:sz w:val="24"/>
          <w:szCs w:val="24"/>
          <w:u w:val="none"/>
        </w:rPr>
        <w:t xml:space="preserve">indicating </w:t>
      </w:r>
      <w:r>
        <w:rPr>
          <w:rStyle w:val="Hyperlink"/>
          <w:rFonts w:ascii="Arial" w:hAnsi="Arial" w:cs="Arial"/>
          <w:color w:val="auto"/>
          <w:sz w:val="24"/>
          <w:szCs w:val="24"/>
          <w:u w:val="none"/>
        </w:rPr>
        <w:t>inadequate platelet suppression), increase aspirin to 3-4 mg/kg daily (round to nearest 40.5 mg increment) and repeat the test in 2-3 days.</w:t>
      </w:r>
    </w:p>
    <w:p w14:paraId="13D42E79" w14:textId="77777777" w:rsidR="00060480" w:rsidRDefault="00060480" w:rsidP="00060480">
      <w:pPr>
        <w:pStyle w:val="ListParagraph"/>
        <w:numPr>
          <w:ilvl w:val="0"/>
          <w:numId w:val="12"/>
        </w:numPr>
        <w:spacing w:after="0"/>
        <w:rPr>
          <w:rStyle w:val="Hyperlink"/>
          <w:rFonts w:ascii="Arial" w:hAnsi="Arial" w:cs="Arial"/>
          <w:color w:val="auto"/>
          <w:sz w:val="24"/>
          <w:szCs w:val="24"/>
          <w:u w:val="none"/>
        </w:rPr>
      </w:pPr>
      <w:r>
        <w:rPr>
          <w:rStyle w:val="Hyperlink"/>
          <w:rFonts w:ascii="Arial" w:hAnsi="Arial" w:cs="Arial"/>
          <w:color w:val="auto"/>
          <w:sz w:val="24"/>
          <w:szCs w:val="24"/>
          <w:u w:val="none"/>
        </w:rPr>
        <w:t>Aspirin should be continued until the patient is off Hydroxyurea for 4 weeks without a significant rise in platelet count</w:t>
      </w:r>
    </w:p>
    <w:p w14:paraId="4E079805" w14:textId="691F32F4" w:rsidR="006F1E04" w:rsidRDefault="006F1E04" w:rsidP="00060480">
      <w:pPr>
        <w:pStyle w:val="ListParagraph"/>
        <w:numPr>
          <w:ilvl w:val="0"/>
          <w:numId w:val="12"/>
        </w:numPr>
        <w:spacing w:after="0"/>
        <w:rPr>
          <w:rStyle w:val="Hyperlink"/>
          <w:rFonts w:ascii="Arial" w:hAnsi="Arial" w:cs="Arial"/>
          <w:color w:val="auto"/>
          <w:sz w:val="24"/>
          <w:szCs w:val="24"/>
          <w:u w:val="none"/>
        </w:rPr>
      </w:pPr>
      <w:r>
        <w:rPr>
          <w:rStyle w:val="Hyperlink"/>
          <w:rFonts w:ascii="Arial" w:hAnsi="Arial" w:cs="Arial"/>
          <w:color w:val="auto"/>
          <w:sz w:val="24"/>
          <w:szCs w:val="24"/>
          <w:u w:val="none"/>
        </w:rPr>
        <w:t>Following discontinuation of aspirin, CBC</w:t>
      </w:r>
      <w:r w:rsidR="00741F10">
        <w:rPr>
          <w:rStyle w:val="Hyperlink"/>
          <w:rFonts w:ascii="Arial" w:hAnsi="Arial" w:cs="Arial"/>
          <w:color w:val="auto"/>
          <w:sz w:val="24"/>
          <w:szCs w:val="24"/>
          <w:u w:val="none"/>
        </w:rPr>
        <w:t xml:space="preserve"> and reticulocyte count</w:t>
      </w:r>
      <w:r>
        <w:rPr>
          <w:rStyle w:val="Hyperlink"/>
          <w:rFonts w:ascii="Arial" w:hAnsi="Arial" w:cs="Arial"/>
          <w:color w:val="auto"/>
          <w:sz w:val="24"/>
          <w:szCs w:val="24"/>
          <w:u w:val="none"/>
        </w:rPr>
        <w:t xml:space="preserve"> </w:t>
      </w:r>
      <w:r w:rsidR="00741F10">
        <w:rPr>
          <w:rStyle w:val="Hyperlink"/>
          <w:rFonts w:ascii="Arial" w:hAnsi="Arial" w:cs="Arial"/>
          <w:color w:val="auto"/>
          <w:sz w:val="24"/>
          <w:szCs w:val="24"/>
          <w:u w:val="none"/>
        </w:rPr>
        <w:t xml:space="preserve">are </w:t>
      </w:r>
      <w:r>
        <w:rPr>
          <w:rStyle w:val="Hyperlink"/>
          <w:rFonts w:ascii="Arial" w:hAnsi="Arial" w:cs="Arial"/>
          <w:color w:val="auto"/>
          <w:sz w:val="24"/>
          <w:szCs w:val="24"/>
          <w:u w:val="none"/>
        </w:rPr>
        <w:t xml:space="preserve">monitored monthly for 2 months. Re-initiation of anti-platelet therapy and/or hydroxyurea will be triggered by a significant rise in platelet count. </w:t>
      </w:r>
    </w:p>
    <w:p w14:paraId="145FDD46" w14:textId="0FFB51CF" w:rsidR="00060480" w:rsidRPr="00F04B79" w:rsidRDefault="006F1E04" w:rsidP="006F1E04">
      <w:pPr>
        <w:pStyle w:val="ListParagraph"/>
        <w:numPr>
          <w:ilvl w:val="0"/>
          <w:numId w:val="13"/>
        </w:numPr>
        <w:spacing w:after="0"/>
        <w:ind w:left="360"/>
        <w:rPr>
          <w:rStyle w:val="Hyperlink"/>
          <w:rFonts w:ascii="Arial" w:hAnsi="Arial" w:cs="Arial"/>
          <w:color w:val="auto"/>
          <w:sz w:val="24"/>
          <w:szCs w:val="24"/>
          <w:u w:val="none"/>
        </w:rPr>
      </w:pPr>
      <w:r w:rsidRPr="00F04B79">
        <w:rPr>
          <w:rStyle w:val="Hyperlink"/>
          <w:rFonts w:ascii="Arial" w:hAnsi="Arial" w:cs="Arial"/>
          <w:color w:val="auto"/>
          <w:sz w:val="24"/>
          <w:szCs w:val="24"/>
          <w:u w:val="none"/>
        </w:rPr>
        <w:t xml:space="preserve">Start Hydroxyurea </w:t>
      </w:r>
      <w:r w:rsidR="00445105" w:rsidRPr="00F04B79">
        <w:rPr>
          <w:rStyle w:val="Hyperlink"/>
          <w:rFonts w:ascii="Arial" w:hAnsi="Arial" w:cs="Arial"/>
          <w:color w:val="auto"/>
          <w:sz w:val="24"/>
          <w:szCs w:val="24"/>
          <w:u w:val="none"/>
        </w:rPr>
        <w:t>25</w:t>
      </w:r>
      <w:r w:rsidR="00A3783D">
        <w:rPr>
          <w:rStyle w:val="Hyperlink"/>
          <w:rFonts w:ascii="Arial" w:hAnsi="Arial" w:cs="Arial"/>
          <w:color w:val="auto"/>
          <w:sz w:val="24"/>
          <w:szCs w:val="24"/>
          <w:u w:val="none"/>
        </w:rPr>
        <w:t xml:space="preserve"> </w:t>
      </w:r>
      <w:bookmarkStart w:id="5" w:name="_GoBack"/>
      <w:bookmarkEnd w:id="5"/>
      <w:r w:rsidRPr="00F04B79">
        <w:rPr>
          <w:rStyle w:val="Hyperlink"/>
          <w:rFonts w:ascii="Arial" w:hAnsi="Arial" w:cs="Arial"/>
          <w:color w:val="auto"/>
          <w:sz w:val="24"/>
          <w:szCs w:val="24"/>
          <w:u w:val="none"/>
        </w:rPr>
        <w:t>mg/kg/day daily by post-operative day 5</w:t>
      </w:r>
    </w:p>
    <w:p w14:paraId="3CB877A8" w14:textId="09DB003C" w:rsidR="006F1E04" w:rsidRPr="00F04B79" w:rsidRDefault="006F1E04" w:rsidP="006F1E04">
      <w:pPr>
        <w:pStyle w:val="ListParagraph"/>
        <w:numPr>
          <w:ilvl w:val="0"/>
          <w:numId w:val="12"/>
        </w:numPr>
        <w:spacing w:after="0"/>
        <w:rPr>
          <w:rStyle w:val="Hyperlink"/>
          <w:rFonts w:ascii="Arial" w:hAnsi="Arial" w:cs="Arial"/>
          <w:color w:val="auto"/>
          <w:sz w:val="24"/>
          <w:szCs w:val="24"/>
          <w:u w:val="none"/>
        </w:rPr>
      </w:pPr>
      <w:r w:rsidRPr="00F04B79">
        <w:rPr>
          <w:rStyle w:val="Hyperlink"/>
          <w:rFonts w:ascii="Arial" w:hAnsi="Arial" w:cs="Arial"/>
          <w:color w:val="auto"/>
          <w:sz w:val="24"/>
          <w:szCs w:val="24"/>
          <w:u w:val="none"/>
        </w:rPr>
        <w:t>Adjus</w:t>
      </w:r>
      <w:r w:rsidR="00561116" w:rsidRPr="00F04B79">
        <w:rPr>
          <w:rStyle w:val="Hyperlink"/>
          <w:rFonts w:ascii="Arial" w:hAnsi="Arial" w:cs="Arial"/>
          <w:color w:val="auto"/>
          <w:sz w:val="24"/>
          <w:szCs w:val="24"/>
          <w:u w:val="none"/>
        </w:rPr>
        <w:t>t</w:t>
      </w:r>
      <w:r w:rsidRPr="00F04B79">
        <w:rPr>
          <w:rStyle w:val="Hyperlink"/>
          <w:rFonts w:ascii="Arial" w:hAnsi="Arial" w:cs="Arial"/>
          <w:color w:val="auto"/>
          <w:sz w:val="24"/>
          <w:szCs w:val="24"/>
          <w:u w:val="none"/>
        </w:rPr>
        <w:t xml:space="preserve"> Hydroxyruea dose based on platelet count</w:t>
      </w:r>
      <w:r w:rsidR="00561116" w:rsidRPr="00F04B79">
        <w:rPr>
          <w:rStyle w:val="Hyperlink"/>
          <w:rFonts w:ascii="Arial" w:hAnsi="Arial" w:cs="Arial"/>
          <w:color w:val="auto"/>
          <w:sz w:val="24"/>
          <w:szCs w:val="24"/>
          <w:u w:val="none"/>
        </w:rPr>
        <w:t>:</w:t>
      </w:r>
    </w:p>
    <w:p w14:paraId="0BD34ED6" w14:textId="77777777" w:rsidR="006F1E04" w:rsidRPr="00F04B79" w:rsidRDefault="006F1E04" w:rsidP="00F04B79">
      <w:pPr>
        <w:pStyle w:val="ListParagraph"/>
        <w:numPr>
          <w:ilvl w:val="1"/>
          <w:numId w:val="12"/>
        </w:numPr>
        <w:spacing w:after="0"/>
        <w:rPr>
          <w:rStyle w:val="Hyperlink"/>
          <w:rFonts w:ascii="Arial" w:hAnsi="Arial" w:cs="Arial"/>
          <w:color w:val="auto"/>
          <w:sz w:val="24"/>
          <w:szCs w:val="24"/>
          <w:u w:val="none"/>
        </w:rPr>
      </w:pPr>
      <w:r w:rsidRPr="00F04B79">
        <w:rPr>
          <w:rStyle w:val="Hyperlink"/>
          <w:rFonts w:ascii="Arial" w:hAnsi="Arial" w:cs="Arial"/>
          <w:color w:val="auto"/>
          <w:sz w:val="24"/>
          <w:szCs w:val="24"/>
          <w:u w:val="none"/>
        </w:rPr>
        <w:t>Platelet count &gt;750K for 2 weeks: increase dose by ~5 mg/kg to a max of 30 mg/kg. NOTE: the maximum Hydroxyurea dose is typically 2000 mg, but doses up to 3000 mg have been used in select patients with appropriate CBC monitoring</w:t>
      </w:r>
    </w:p>
    <w:p w14:paraId="4484234F" w14:textId="77777777" w:rsidR="006F1E04" w:rsidRDefault="006F1E04" w:rsidP="00F04B79">
      <w:pPr>
        <w:pStyle w:val="ListParagraph"/>
        <w:numPr>
          <w:ilvl w:val="1"/>
          <w:numId w:val="12"/>
        </w:numPr>
        <w:spacing w:after="0"/>
        <w:rPr>
          <w:rStyle w:val="Hyperlink"/>
          <w:rFonts w:ascii="Arial" w:hAnsi="Arial" w:cs="Arial"/>
          <w:color w:val="auto"/>
          <w:sz w:val="24"/>
          <w:szCs w:val="24"/>
          <w:u w:val="none"/>
        </w:rPr>
      </w:pPr>
      <w:r>
        <w:rPr>
          <w:rStyle w:val="Hyperlink"/>
          <w:rFonts w:ascii="Arial" w:hAnsi="Arial" w:cs="Arial"/>
          <w:color w:val="auto"/>
          <w:sz w:val="24"/>
          <w:szCs w:val="24"/>
          <w:u w:val="none"/>
        </w:rPr>
        <w:t>Platelet count 500-750K: maintain the current dose</w:t>
      </w:r>
    </w:p>
    <w:p w14:paraId="1C4B770D" w14:textId="77777777" w:rsidR="006F1E04" w:rsidRDefault="006F1E04" w:rsidP="00F04B79">
      <w:pPr>
        <w:pStyle w:val="ListParagraph"/>
        <w:numPr>
          <w:ilvl w:val="1"/>
          <w:numId w:val="12"/>
        </w:numPr>
        <w:spacing w:after="0"/>
        <w:rPr>
          <w:rStyle w:val="Hyperlink"/>
          <w:rFonts w:ascii="Arial" w:hAnsi="Arial" w:cs="Arial"/>
          <w:color w:val="auto"/>
          <w:sz w:val="24"/>
          <w:szCs w:val="24"/>
          <w:u w:val="none"/>
        </w:rPr>
      </w:pPr>
      <w:r>
        <w:rPr>
          <w:rStyle w:val="Hyperlink"/>
          <w:rFonts w:ascii="Arial" w:hAnsi="Arial" w:cs="Arial"/>
          <w:color w:val="auto"/>
          <w:sz w:val="24"/>
          <w:szCs w:val="24"/>
          <w:u w:val="none"/>
        </w:rPr>
        <w:t>Platelet count &lt;500K: wean dose by ~5-10 mg/kg</w:t>
      </w:r>
    </w:p>
    <w:p w14:paraId="1622F009" w14:textId="77777777" w:rsidR="006F1E04" w:rsidRPr="00255806" w:rsidRDefault="006F1E04" w:rsidP="00F04B79">
      <w:pPr>
        <w:pStyle w:val="ListParagraph"/>
        <w:numPr>
          <w:ilvl w:val="1"/>
          <w:numId w:val="12"/>
        </w:numPr>
        <w:spacing w:after="0"/>
        <w:rPr>
          <w:rStyle w:val="Hyperlink"/>
          <w:rFonts w:cstheme="minorHAnsi"/>
          <w:color w:val="auto"/>
          <w:sz w:val="24"/>
          <w:szCs w:val="24"/>
          <w:u w:val="none"/>
        </w:rPr>
      </w:pPr>
      <w:r>
        <w:rPr>
          <w:rStyle w:val="Hyperlink"/>
          <w:rFonts w:ascii="Arial" w:hAnsi="Arial" w:cs="Arial"/>
          <w:color w:val="auto"/>
          <w:sz w:val="24"/>
          <w:szCs w:val="24"/>
          <w:u w:val="none"/>
        </w:rPr>
        <w:t xml:space="preserve">If Hydroxyurea is stopped, monitor platelets biweekly for another 1-2 months. Hydroxyurea should be restarted at the previous dose if platelet rise to &gt;750K for 2-3 weeks. </w:t>
      </w:r>
    </w:p>
    <w:p w14:paraId="62D81D8D" w14:textId="31A4C3DB" w:rsidR="00255806" w:rsidRPr="00255806" w:rsidRDefault="00255806" w:rsidP="00255806">
      <w:pPr>
        <w:pStyle w:val="ListParagraph"/>
        <w:numPr>
          <w:ilvl w:val="0"/>
          <w:numId w:val="12"/>
        </w:numPr>
        <w:spacing w:before="120" w:after="0" w:line="240" w:lineRule="auto"/>
        <w:jc w:val="both"/>
        <w:rPr>
          <w:rFonts w:ascii="Arial" w:eastAsia="Calibri" w:hAnsi="Arial" w:cs="Arial"/>
          <w:sz w:val="24"/>
          <w:szCs w:val="24"/>
        </w:rPr>
      </w:pPr>
      <w:r w:rsidRPr="00255806">
        <w:rPr>
          <w:rFonts w:ascii="Arial" w:eastAsia="Calibri" w:hAnsi="Arial" w:cs="Arial"/>
          <w:b/>
          <w:sz w:val="24"/>
          <w:szCs w:val="24"/>
        </w:rPr>
        <w:t>NOTE:</w:t>
      </w:r>
      <w:r w:rsidRPr="00255806">
        <w:rPr>
          <w:rFonts w:ascii="Arial" w:eastAsia="Calibri" w:hAnsi="Arial" w:cs="Arial"/>
          <w:sz w:val="24"/>
          <w:szCs w:val="24"/>
        </w:rPr>
        <w:t xml:space="preserve"> for any of the following, </w:t>
      </w:r>
      <w:r w:rsidRPr="00255806">
        <w:rPr>
          <w:rFonts w:ascii="Arial" w:eastAsia="Calibri" w:hAnsi="Arial" w:cs="Arial"/>
          <w:b/>
          <w:sz w:val="24"/>
          <w:szCs w:val="24"/>
        </w:rPr>
        <w:t>HOLD HYDROXYUREA</w:t>
      </w:r>
      <w:r w:rsidRPr="00255806">
        <w:rPr>
          <w:rFonts w:ascii="Arial" w:eastAsia="Calibri" w:hAnsi="Arial" w:cs="Arial"/>
          <w:sz w:val="24"/>
          <w:szCs w:val="24"/>
        </w:rPr>
        <w:t xml:space="preserve"> and restart at a dose 5 – 10 mg/kg less once the count has recovered</w:t>
      </w:r>
    </w:p>
    <w:p w14:paraId="17F287E3" w14:textId="13D24FA5" w:rsidR="00255806" w:rsidRPr="00255806" w:rsidRDefault="00255806" w:rsidP="00255806">
      <w:pPr>
        <w:pStyle w:val="ListParagraph"/>
        <w:numPr>
          <w:ilvl w:val="0"/>
          <w:numId w:val="14"/>
        </w:numPr>
        <w:spacing w:before="120" w:after="0" w:line="240" w:lineRule="auto"/>
        <w:jc w:val="both"/>
        <w:rPr>
          <w:rFonts w:ascii="Arial" w:eastAsia="Calibri" w:hAnsi="Arial" w:cs="Arial"/>
          <w:sz w:val="24"/>
          <w:szCs w:val="24"/>
        </w:rPr>
      </w:pPr>
      <w:r w:rsidRPr="00255806">
        <w:rPr>
          <w:rFonts w:ascii="Arial" w:eastAsia="Calibri" w:hAnsi="Arial" w:cs="Arial"/>
          <w:sz w:val="24"/>
          <w:szCs w:val="24"/>
        </w:rPr>
        <w:t>ANC &lt; 1500 x 10</w:t>
      </w:r>
      <w:r w:rsidRPr="00F04B79">
        <w:rPr>
          <w:rFonts w:ascii="Arial" w:eastAsia="Calibri" w:hAnsi="Arial" w:cs="Arial"/>
          <w:sz w:val="24"/>
          <w:szCs w:val="24"/>
          <w:vertAlign w:val="superscript"/>
        </w:rPr>
        <w:t>9</w:t>
      </w:r>
      <w:r w:rsidRPr="00255806">
        <w:rPr>
          <w:rFonts w:ascii="Arial" w:eastAsia="Calibri" w:hAnsi="Arial" w:cs="Arial"/>
          <w:sz w:val="24"/>
          <w:szCs w:val="24"/>
        </w:rPr>
        <w:t>/L</w:t>
      </w:r>
    </w:p>
    <w:p w14:paraId="4E53C4E3" w14:textId="77777777" w:rsidR="00255806" w:rsidRPr="00255806" w:rsidRDefault="00255806" w:rsidP="00255806">
      <w:pPr>
        <w:pStyle w:val="ListParagraph"/>
        <w:numPr>
          <w:ilvl w:val="0"/>
          <w:numId w:val="14"/>
        </w:numPr>
        <w:spacing w:before="120" w:after="0" w:line="240" w:lineRule="auto"/>
        <w:jc w:val="both"/>
        <w:rPr>
          <w:rFonts w:ascii="Arial" w:eastAsia="Calibri" w:hAnsi="Arial" w:cs="Arial"/>
          <w:sz w:val="24"/>
          <w:szCs w:val="24"/>
        </w:rPr>
      </w:pPr>
      <w:r w:rsidRPr="00255806">
        <w:rPr>
          <w:rFonts w:ascii="Arial" w:eastAsia="Calibri" w:hAnsi="Arial" w:cs="Arial"/>
          <w:sz w:val="24"/>
          <w:szCs w:val="24"/>
        </w:rPr>
        <w:t>Absolute reticulocyte count &lt;80 x 10</w:t>
      </w:r>
      <w:r w:rsidRPr="00F04B79">
        <w:rPr>
          <w:rFonts w:ascii="Arial" w:eastAsia="Calibri" w:hAnsi="Arial" w:cs="Arial"/>
          <w:sz w:val="24"/>
          <w:szCs w:val="24"/>
          <w:vertAlign w:val="superscript"/>
        </w:rPr>
        <w:t>9</w:t>
      </w:r>
      <w:r w:rsidRPr="00255806">
        <w:rPr>
          <w:rFonts w:ascii="Arial" w:eastAsia="Calibri" w:hAnsi="Arial" w:cs="Arial"/>
          <w:sz w:val="24"/>
          <w:szCs w:val="24"/>
        </w:rPr>
        <w:t>/L, if hemoglobin is &lt;9.0g/dL </w:t>
      </w:r>
    </w:p>
    <w:p w14:paraId="7EB525DB" w14:textId="77777777" w:rsidR="00255806" w:rsidRPr="00255806" w:rsidRDefault="00255806" w:rsidP="00255806">
      <w:pPr>
        <w:pStyle w:val="ListParagraph"/>
        <w:numPr>
          <w:ilvl w:val="0"/>
          <w:numId w:val="14"/>
        </w:numPr>
        <w:spacing w:before="120" w:after="0" w:line="240" w:lineRule="auto"/>
        <w:jc w:val="both"/>
        <w:rPr>
          <w:rFonts w:ascii="Arial" w:eastAsia="Calibri" w:hAnsi="Arial" w:cs="Arial"/>
          <w:sz w:val="24"/>
          <w:szCs w:val="24"/>
        </w:rPr>
      </w:pPr>
      <w:r w:rsidRPr="00255806">
        <w:rPr>
          <w:rFonts w:ascii="Arial" w:eastAsia="Calibri" w:hAnsi="Arial" w:cs="Arial"/>
          <w:sz w:val="24"/>
          <w:szCs w:val="24"/>
        </w:rPr>
        <w:t>Hemoglobin &lt;5g/dL or &gt;20% below baseline, regardless of the ARC </w:t>
      </w:r>
    </w:p>
    <w:p w14:paraId="451C98E3" w14:textId="18FA7C08" w:rsidR="00255806" w:rsidRPr="006F1E04" w:rsidRDefault="00255806" w:rsidP="00F04B79">
      <w:pPr>
        <w:pStyle w:val="ListParagraph"/>
        <w:spacing w:after="0"/>
        <w:ind w:left="1080"/>
        <w:rPr>
          <w:rStyle w:val="Hyperlink"/>
          <w:rFonts w:ascii="Arial" w:hAnsi="Arial" w:cs="Arial"/>
          <w:color w:val="auto"/>
          <w:sz w:val="24"/>
          <w:szCs w:val="24"/>
          <w:u w:val="none"/>
        </w:rPr>
      </w:pPr>
    </w:p>
    <w:p w14:paraId="12DA81BF" w14:textId="77777777" w:rsidR="00060480" w:rsidRPr="00060480" w:rsidRDefault="00060480" w:rsidP="00060480">
      <w:pPr>
        <w:spacing w:after="0"/>
        <w:rPr>
          <w:rStyle w:val="Hyperlink"/>
          <w:rFonts w:cs="Arial"/>
          <w:color w:val="auto"/>
          <w:szCs w:val="24"/>
        </w:rPr>
      </w:pPr>
      <w:r w:rsidRPr="00060480">
        <w:rPr>
          <w:rStyle w:val="Hyperlink"/>
          <w:rFonts w:cs="Arial"/>
          <w:color w:val="auto"/>
          <w:szCs w:val="24"/>
        </w:rPr>
        <w:lastRenderedPageBreak/>
        <w:t xml:space="preserve">Post-operative labs: </w:t>
      </w:r>
    </w:p>
    <w:p w14:paraId="63B04165" w14:textId="5C74FFB8" w:rsidR="00060480" w:rsidRDefault="00060480" w:rsidP="00060480">
      <w:pPr>
        <w:pStyle w:val="ListParagraph"/>
        <w:numPr>
          <w:ilvl w:val="0"/>
          <w:numId w:val="11"/>
        </w:numPr>
        <w:spacing w:after="0"/>
        <w:ind w:left="360"/>
        <w:rPr>
          <w:rStyle w:val="Hyperlink"/>
          <w:rFonts w:ascii="Arial" w:hAnsi="Arial" w:cs="Arial"/>
          <w:color w:val="auto"/>
          <w:sz w:val="24"/>
          <w:szCs w:val="24"/>
          <w:u w:val="none"/>
        </w:rPr>
      </w:pPr>
      <w:r>
        <w:rPr>
          <w:rStyle w:val="Hyperlink"/>
          <w:rFonts w:ascii="Arial" w:hAnsi="Arial" w:cs="Arial"/>
          <w:color w:val="auto"/>
          <w:sz w:val="24"/>
          <w:szCs w:val="24"/>
          <w:u w:val="none"/>
        </w:rPr>
        <w:t xml:space="preserve">Monitor for potential liver dysfunction by checking PT/INR and aPTT every </w:t>
      </w:r>
      <w:r w:rsidR="00445105">
        <w:rPr>
          <w:rStyle w:val="Hyperlink"/>
          <w:rFonts w:ascii="Arial" w:hAnsi="Arial" w:cs="Arial"/>
          <w:color w:val="auto"/>
          <w:sz w:val="24"/>
          <w:szCs w:val="24"/>
          <w:u w:val="none"/>
        </w:rPr>
        <w:t>8</w:t>
      </w:r>
      <w:r>
        <w:rPr>
          <w:rStyle w:val="Hyperlink"/>
          <w:rFonts w:ascii="Arial" w:hAnsi="Arial" w:cs="Arial"/>
          <w:color w:val="auto"/>
          <w:sz w:val="24"/>
          <w:szCs w:val="24"/>
          <w:u w:val="none"/>
        </w:rPr>
        <w:t>-12 hours (based on clinical acuity)</w:t>
      </w:r>
    </w:p>
    <w:p w14:paraId="7BC9A4B1" w14:textId="32ACD65C" w:rsidR="00060480" w:rsidRDefault="00060480" w:rsidP="00060480">
      <w:pPr>
        <w:pStyle w:val="ListParagraph"/>
        <w:numPr>
          <w:ilvl w:val="0"/>
          <w:numId w:val="11"/>
        </w:numPr>
        <w:spacing w:after="0"/>
        <w:ind w:left="360"/>
        <w:rPr>
          <w:rStyle w:val="Hyperlink"/>
          <w:rFonts w:ascii="Arial" w:hAnsi="Arial" w:cs="Arial"/>
          <w:color w:val="auto"/>
          <w:sz w:val="24"/>
          <w:szCs w:val="24"/>
          <w:u w:val="none"/>
        </w:rPr>
      </w:pPr>
      <w:r>
        <w:rPr>
          <w:rStyle w:val="Hyperlink"/>
          <w:rFonts w:ascii="Arial" w:hAnsi="Arial" w:cs="Arial"/>
          <w:color w:val="auto"/>
          <w:sz w:val="24"/>
          <w:szCs w:val="24"/>
          <w:u w:val="none"/>
        </w:rPr>
        <w:t xml:space="preserve">Monitor anti-thrombin </w:t>
      </w:r>
      <w:commentRangeStart w:id="6"/>
      <w:commentRangeStart w:id="7"/>
      <w:r>
        <w:rPr>
          <w:rStyle w:val="Hyperlink"/>
          <w:rFonts w:ascii="Arial" w:hAnsi="Arial" w:cs="Arial"/>
          <w:color w:val="auto"/>
          <w:sz w:val="24"/>
          <w:szCs w:val="24"/>
          <w:u w:val="none"/>
        </w:rPr>
        <w:t>daily</w:t>
      </w:r>
      <w:commentRangeEnd w:id="6"/>
      <w:r w:rsidR="00561116">
        <w:rPr>
          <w:rStyle w:val="CommentReference"/>
          <w:rFonts w:ascii="Arial" w:hAnsi="Arial"/>
        </w:rPr>
        <w:commentReference w:id="6"/>
      </w:r>
      <w:commentRangeEnd w:id="7"/>
      <w:r w:rsidR="00AC4289">
        <w:rPr>
          <w:rStyle w:val="CommentReference"/>
          <w:rFonts w:ascii="Arial" w:hAnsi="Arial"/>
        </w:rPr>
        <w:commentReference w:id="7"/>
      </w:r>
      <w:r>
        <w:rPr>
          <w:rStyle w:val="Hyperlink"/>
          <w:rFonts w:ascii="Arial" w:hAnsi="Arial" w:cs="Arial"/>
          <w:color w:val="auto"/>
          <w:sz w:val="24"/>
          <w:szCs w:val="24"/>
          <w:u w:val="none"/>
        </w:rPr>
        <w:t xml:space="preserve"> and replete to maintain activity &gt;70% (see separate Post TPIAT anti-thrombin guidelines for details regarding dosing)</w:t>
      </w:r>
    </w:p>
    <w:p w14:paraId="01C014D0" w14:textId="4F56D714" w:rsidR="00060480" w:rsidRDefault="00060480" w:rsidP="00060480">
      <w:pPr>
        <w:pStyle w:val="ListParagraph"/>
        <w:numPr>
          <w:ilvl w:val="0"/>
          <w:numId w:val="11"/>
        </w:numPr>
        <w:spacing w:after="0"/>
        <w:ind w:left="360"/>
        <w:rPr>
          <w:rStyle w:val="Hyperlink"/>
          <w:rFonts w:ascii="Arial" w:hAnsi="Arial" w:cs="Arial"/>
          <w:color w:val="auto"/>
          <w:sz w:val="24"/>
          <w:szCs w:val="24"/>
          <w:u w:val="none"/>
        </w:rPr>
      </w:pPr>
      <w:r>
        <w:rPr>
          <w:rStyle w:val="Hyperlink"/>
          <w:rFonts w:ascii="Arial" w:hAnsi="Arial" w:cs="Arial"/>
          <w:color w:val="auto"/>
          <w:sz w:val="24"/>
          <w:szCs w:val="24"/>
          <w:u w:val="none"/>
        </w:rPr>
        <w:t xml:space="preserve">Monitor CBC </w:t>
      </w:r>
      <w:r w:rsidR="00F03356">
        <w:rPr>
          <w:rStyle w:val="Hyperlink"/>
          <w:rFonts w:ascii="Arial" w:hAnsi="Arial" w:cs="Arial"/>
          <w:color w:val="auto"/>
          <w:sz w:val="24"/>
          <w:szCs w:val="24"/>
          <w:u w:val="none"/>
        </w:rPr>
        <w:t>with diff</w:t>
      </w:r>
      <w:r w:rsidR="00561116">
        <w:rPr>
          <w:rStyle w:val="Hyperlink"/>
          <w:rFonts w:ascii="Arial" w:hAnsi="Arial" w:cs="Arial"/>
          <w:color w:val="auto"/>
          <w:sz w:val="24"/>
          <w:szCs w:val="24"/>
          <w:u w:val="none"/>
        </w:rPr>
        <w:t>, reticulated platelet count and reticulocyte count</w:t>
      </w:r>
      <w:r w:rsidR="00F03356">
        <w:rPr>
          <w:rStyle w:val="Hyperlink"/>
          <w:rFonts w:ascii="Arial" w:hAnsi="Arial" w:cs="Arial"/>
          <w:color w:val="auto"/>
          <w:sz w:val="24"/>
          <w:szCs w:val="24"/>
          <w:u w:val="none"/>
        </w:rPr>
        <w:t xml:space="preserve"> </w:t>
      </w:r>
      <w:r>
        <w:rPr>
          <w:rStyle w:val="Hyperlink"/>
          <w:rFonts w:ascii="Arial" w:hAnsi="Arial" w:cs="Arial"/>
          <w:color w:val="auto"/>
          <w:sz w:val="24"/>
          <w:szCs w:val="24"/>
          <w:u w:val="none"/>
        </w:rPr>
        <w:t>daily during first week post-op</w:t>
      </w:r>
      <w:r w:rsidR="006F1E04">
        <w:rPr>
          <w:rStyle w:val="Hyperlink"/>
          <w:rFonts w:ascii="Arial" w:hAnsi="Arial" w:cs="Arial"/>
          <w:color w:val="auto"/>
          <w:sz w:val="24"/>
          <w:szCs w:val="24"/>
          <w:u w:val="none"/>
        </w:rPr>
        <w:t>, then repeat</w:t>
      </w:r>
      <w:r w:rsidR="00561116">
        <w:rPr>
          <w:rStyle w:val="Hyperlink"/>
          <w:rFonts w:ascii="Arial" w:hAnsi="Arial" w:cs="Arial"/>
          <w:color w:val="auto"/>
          <w:sz w:val="24"/>
          <w:szCs w:val="24"/>
          <w:u w:val="none"/>
        </w:rPr>
        <w:t xml:space="preserve"> CBC with reticulocyte count</w:t>
      </w:r>
      <w:r w:rsidR="006F1E04">
        <w:rPr>
          <w:rStyle w:val="Hyperlink"/>
          <w:rFonts w:ascii="Arial" w:hAnsi="Arial" w:cs="Arial"/>
          <w:color w:val="auto"/>
          <w:sz w:val="24"/>
          <w:szCs w:val="24"/>
          <w:u w:val="none"/>
        </w:rPr>
        <w:t xml:space="preserve"> </w:t>
      </w:r>
      <w:r w:rsidR="00561116">
        <w:rPr>
          <w:rStyle w:val="Hyperlink"/>
          <w:rFonts w:ascii="Arial" w:hAnsi="Arial" w:cs="Arial"/>
          <w:color w:val="auto"/>
          <w:sz w:val="24"/>
          <w:szCs w:val="24"/>
          <w:u w:val="none"/>
        </w:rPr>
        <w:t xml:space="preserve">(and also order </w:t>
      </w:r>
      <w:r w:rsidR="006F1E04">
        <w:rPr>
          <w:rStyle w:val="Hyperlink"/>
          <w:rFonts w:ascii="Arial" w:hAnsi="Arial" w:cs="Arial"/>
          <w:color w:val="auto"/>
          <w:sz w:val="24"/>
          <w:szCs w:val="24"/>
          <w:u w:val="none"/>
        </w:rPr>
        <w:t>reticulated platelet count</w:t>
      </w:r>
      <w:r w:rsidR="00561116">
        <w:rPr>
          <w:rStyle w:val="Hyperlink"/>
          <w:rFonts w:ascii="Arial" w:hAnsi="Arial" w:cs="Arial"/>
          <w:color w:val="auto"/>
          <w:sz w:val="24"/>
          <w:szCs w:val="24"/>
          <w:u w:val="none"/>
        </w:rPr>
        <w:t xml:space="preserve"> if in the CCHMC system) </w:t>
      </w:r>
      <w:r w:rsidR="006F1E04">
        <w:rPr>
          <w:rStyle w:val="Hyperlink"/>
          <w:rFonts w:ascii="Arial" w:hAnsi="Arial" w:cs="Arial"/>
          <w:color w:val="auto"/>
          <w:sz w:val="24"/>
          <w:szCs w:val="24"/>
          <w:u w:val="none"/>
        </w:rPr>
        <w:t>weekly to every other week after post-operative day 7</w:t>
      </w:r>
      <w:r w:rsidR="00F03356">
        <w:rPr>
          <w:rStyle w:val="Hyperlink"/>
          <w:rFonts w:ascii="Arial" w:hAnsi="Arial" w:cs="Arial"/>
          <w:color w:val="auto"/>
          <w:sz w:val="24"/>
          <w:szCs w:val="24"/>
          <w:u w:val="none"/>
        </w:rPr>
        <w:t>.  May eventually be transitioned to every 2 weeks CBC with diff</w:t>
      </w:r>
      <w:r w:rsidR="00561116">
        <w:rPr>
          <w:rStyle w:val="Hyperlink"/>
          <w:rFonts w:ascii="Arial" w:hAnsi="Arial" w:cs="Arial"/>
          <w:color w:val="auto"/>
          <w:sz w:val="24"/>
          <w:szCs w:val="24"/>
          <w:u w:val="none"/>
        </w:rPr>
        <w:t xml:space="preserve"> with reticulocyte count</w:t>
      </w:r>
      <w:r w:rsidR="00F03356">
        <w:rPr>
          <w:rStyle w:val="Hyperlink"/>
          <w:rFonts w:ascii="Arial" w:hAnsi="Arial" w:cs="Arial"/>
          <w:color w:val="auto"/>
          <w:sz w:val="24"/>
          <w:szCs w:val="24"/>
          <w:u w:val="none"/>
        </w:rPr>
        <w:t xml:space="preserve"> as </w:t>
      </w:r>
      <w:commentRangeStart w:id="8"/>
      <w:r w:rsidR="00F03356">
        <w:rPr>
          <w:rStyle w:val="Hyperlink"/>
          <w:rFonts w:ascii="Arial" w:hAnsi="Arial" w:cs="Arial"/>
          <w:color w:val="auto"/>
          <w:sz w:val="24"/>
          <w:szCs w:val="24"/>
          <w:u w:val="none"/>
        </w:rPr>
        <w:t>outpatient</w:t>
      </w:r>
      <w:commentRangeEnd w:id="8"/>
      <w:r w:rsidR="00561116">
        <w:rPr>
          <w:rStyle w:val="CommentReference"/>
          <w:rFonts w:ascii="Arial" w:hAnsi="Arial"/>
        </w:rPr>
        <w:commentReference w:id="8"/>
      </w:r>
      <w:r w:rsidR="00F03356">
        <w:rPr>
          <w:rStyle w:val="Hyperlink"/>
          <w:rFonts w:ascii="Arial" w:hAnsi="Arial" w:cs="Arial"/>
          <w:color w:val="auto"/>
          <w:sz w:val="24"/>
          <w:szCs w:val="24"/>
          <w:u w:val="none"/>
        </w:rPr>
        <w:t>.</w:t>
      </w:r>
    </w:p>
    <w:p w14:paraId="40EB2270" w14:textId="77777777" w:rsidR="00060480" w:rsidRDefault="00060480" w:rsidP="006F1E04">
      <w:pPr>
        <w:pStyle w:val="ListParagraph"/>
        <w:spacing w:after="0"/>
        <w:ind w:left="360"/>
        <w:rPr>
          <w:rStyle w:val="Hyperlink"/>
          <w:rFonts w:ascii="Arial" w:hAnsi="Arial" w:cs="Arial"/>
          <w:color w:val="auto"/>
          <w:sz w:val="24"/>
          <w:szCs w:val="24"/>
          <w:u w:val="none"/>
        </w:rPr>
      </w:pPr>
    </w:p>
    <w:p w14:paraId="17950958" w14:textId="77777777" w:rsidR="00C35AA8" w:rsidRPr="00060480" w:rsidRDefault="00C35AA8" w:rsidP="006F1E04">
      <w:pPr>
        <w:pStyle w:val="ListParagraph"/>
        <w:spacing w:after="0"/>
        <w:ind w:left="360"/>
        <w:rPr>
          <w:rStyle w:val="Hyperlink"/>
          <w:rFonts w:ascii="Arial" w:hAnsi="Arial" w:cs="Arial"/>
          <w:color w:val="auto"/>
          <w:sz w:val="24"/>
          <w:szCs w:val="24"/>
          <w:u w:val="none"/>
        </w:rPr>
      </w:pPr>
    </w:p>
    <w:sectPr w:rsidR="00C35AA8" w:rsidRPr="00060480" w:rsidSect="00FC68E4">
      <w:headerReference w:type="default" r:id="rId9"/>
      <w:foot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Heinzman, Christie" w:date="2019-10-08T13:45:00Z" w:initials="HC">
    <w:p w14:paraId="1063EED7" w14:textId="77777777" w:rsidR="00C35AA8" w:rsidRDefault="00C35AA8">
      <w:pPr>
        <w:pStyle w:val="CommentText"/>
      </w:pPr>
      <w:r>
        <w:rPr>
          <w:rStyle w:val="CommentReference"/>
        </w:rPr>
        <w:annotationRef/>
      </w:r>
      <w:r>
        <w:t>I separated the original document into phases of care and grouped comments about each med/lab</w:t>
      </w:r>
    </w:p>
  </w:comment>
  <w:comment w:id="1" w:author="Luchtman-Jones, Lori" w:date="2019-12-26T09:01:00Z" w:initials="LL">
    <w:p w14:paraId="59A18271" w14:textId="7B8FD83F" w:rsidR="006D4448" w:rsidRDefault="006D4448">
      <w:pPr>
        <w:pStyle w:val="CommentText"/>
      </w:pPr>
      <w:r>
        <w:rPr>
          <w:rStyle w:val="CommentReference"/>
        </w:rPr>
        <w:annotationRef/>
      </w:r>
      <w:r>
        <w:t>I think it is clinically helpful to get a baseline TPO level in these patients</w:t>
      </w:r>
    </w:p>
  </w:comment>
  <w:comment w:id="2" w:author="Heinzman, Christie" w:date="2020-02-12T16:13:00Z" w:initials="HC">
    <w:p w14:paraId="3FF9C566" w14:textId="213C4660" w:rsidR="00AC4289" w:rsidRDefault="00AC4289">
      <w:pPr>
        <w:pStyle w:val="CommentText"/>
      </w:pPr>
      <w:r>
        <w:rPr>
          <w:rStyle w:val="CommentReference"/>
        </w:rPr>
        <w:annotationRef/>
      </w:r>
      <w:r w:rsidRPr="00AC4289">
        <w:rPr>
          <w:highlight w:val="yellow"/>
        </w:rPr>
        <w:t>TPO level and CBC are currently a part of the pre-TPIAT order set. We can add retic with our revisions.</w:t>
      </w:r>
      <w:r>
        <w:t xml:space="preserve"> </w:t>
      </w:r>
    </w:p>
  </w:comment>
  <w:comment w:id="4" w:author="Luchtman-Jones, Lori" w:date="2019-12-26T09:04:00Z" w:initials="LL">
    <w:p w14:paraId="3DAF5FF4" w14:textId="46666C28" w:rsidR="006D4448" w:rsidRDefault="006D4448">
      <w:pPr>
        <w:pStyle w:val="CommentText"/>
      </w:pPr>
      <w:r>
        <w:rPr>
          <w:rStyle w:val="CommentReference"/>
        </w:rPr>
        <w:annotationRef/>
      </w:r>
      <w:r>
        <w:t>I think there is confusion about what is done with these patients post op.  Typically I think you don’t use Lovenox. You start aspirin.  Occasionally there is a higher risk patient where you use Lovenox (or therapeutic heparin dosing) instead of aspirin.</w:t>
      </w:r>
    </w:p>
  </w:comment>
  <w:comment w:id="3" w:author="Heinzman, Christie" w:date="2020-02-12T16:15:00Z" w:initials="HC">
    <w:p w14:paraId="3E773FA2" w14:textId="11D2001A" w:rsidR="00AC4289" w:rsidRDefault="00AC4289">
      <w:pPr>
        <w:pStyle w:val="CommentText"/>
      </w:pPr>
      <w:r>
        <w:rPr>
          <w:rStyle w:val="CommentReference"/>
        </w:rPr>
        <w:annotationRef/>
      </w:r>
      <w:r w:rsidRPr="00AC4289">
        <w:rPr>
          <w:highlight w:val="yellow"/>
        </w:rPr>
        <w:t>We actually do both. Aspirin is started once the Dextran is off (after 48 hours) and Lovenox is started once the heparin drip is off (around POD 7)</w:t>
      </w:r>
    </w:p>
  </w:comment>
  <w:comment w:id="6" w:author="Luchtman-Jones, Lori" w:date="2019-12-26T09:20:00Z" w:initials="LL">
    <w:p w14:paraId="01B68AD3" w14:textId="345E1F63" w:rsidR="00561116" w:rsidRDefault="00561116">
      <w:pPr>
        <w:pStyle w:val="CommentText"/>
      </w:pPr>
      <w:r>
        <w:rPr>
          <w:rStyle w:val="CommentReference"/>
        </w:rPr>
        <w:annotationRef/>
      </w:r>
      <w:r w:rsidRPr="00AC4289">
        <w:rPr>
          <w:highlight w:val="yellow"/>
        </w:rPr>
        <w:t>This is expensive and not validated in the literature! Not sure when this was introduced. Happy to discuss with you.</w:t>
      </w:r>
    </w:p>
  </w:comment>
  <w:comment w:id="7" w:author="Heinzman, Christie" w:date="2020-02-12T16:19:00Z" w:initials="HC">
    <w:p w14:paraId="619BB286" w14:textId="42273D88" w:rsidR="00AC4289" w:rsidRDefault="00AC4289">
      <w:pPr>
        <w:pStyle w:val="CommentText"/>
      </w:pPr>
      <w:r>
        <w:rPr>
          <w:rStyle w:val="CommentReference"/>
        </w:rPr>
        <w:annotationRef/>
      </w:r>
      <w:r w:rsidRPr="00AC4289">
        <w:rPr>
          <w:highlight w:val="yellow"/>
        </w:rPr>
        <w:t>Defer to Dr Nathan</w:t>
      </w:r>
    </w:p>
  </w:comment>
  <w:comment w:id="8" w:author="Luchtman-Jones, Lori" w:date="2019-12-26T09:23:00Z" w:initials="LL">
    <w:p w14:paraId="5D1A93E6" w14:textId="2A7D7CBF" w:rsidR="00561116" w:rsidRDefault="00561116">
      <w:pPr>
        <w:pStyle w:val="CommentText"/>
      </w:pPr>
      <w:r>
        <w:rPr>
          <w:rStyle w:val="CommentReference"/>
        </w:rPr>
        <w:annotationRef/>
      </w:r>
      <w:r>
        <w:t>The reticulocyte count – and reticulated platelet count – look at young cells being produced and help us understand bone marrow activity. This is useful to assess adherence and also bone marrow toxicity.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63EED7" w15:done="0"/>
  <w15:commentEx w15:paraId="59A18271" w15:done="0"/>
  <w15:commentEx w15:paraId="3FF9C566" w15:paraIdParent="59A18271" w15:done="0"/>
  <w15:commentEx w15:paraId="3DAF5FF4" w15:done="0"/>
  <w15:commentEx w15:paraId="3E773FA2" w15:paraIdParent="3DAF5FF4" w15:done="0"/>
  <w15:commentEx w15:paraId="01B68AD3" w15:done="0"/>
  <w15:commentEx w15:paraId="619BB286" w15:paraIdParent="01B68AD3" w15:done="0"/>
  <w15:commentEx w15:paraId="5D1A93E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63EED7" w16cid:durableId="21AEF3F8"/>
  <w16cid:commentId w16cid:paraId="3FBECA1D" w16cid:durableId="21AEF3F9"/>
  <w16cid:commentId w16cid:paraId="7DC0129B" w16cid:durableId="21AEF3FA"/>
  <w16cid:commentId w16cid:paraId="59A18271" w16cid:durableId="21AEF582"/>
  <w16cid:commentId w16cid:paraId="64CE60D4" w16cid:durableId="21AEF3FB"/>
  <w16cid:commentId w16cid:paraId="3DAF5FF4" w16cid:durableId="21AEF605"/>
  <w16cid:commentId w16cid:paraId="1BC53024" w16cid:durableId="21AEF3FC"/>
  <w16cid:commentId w16cid:paraId="76D49178" w16cid:durableId="21AEF3FD"/>
  <w16cid:commentId w16cid:paraId="6D34F103" w16cid:durableId="21AEF932"/>
  <w16cid:commentId w16cid:paraId="0847E6B2" w16cid:durableId="21AEF3FE"/>
  <w16cid:commentId w16cid:paraId="165677AA" w16cid:durableId="21AEF3FF"/>
  <w16cid:commentId w16cid:paraId="70ED3B81" w16cid:durableId="21AEF400"/>
  <w16cid:commentId w16cid:paraId="45E5F7BC" w16cid:durableId="21AEF401"/>
  <w16cid:commentId w16cid:paraId="2B07118F" w16cid:durableId="21AEF402"/>
  <w16cid:commentId w16cid:paraId="1BDECB39" w16cid:durableId="21AEF403"/>
  <w16cid:commentId w16cid:paraId="01B68AD3" w16cid:durableId="21AEF9C2"/>
  <w16cid:commentId w16cid:paraId="5D1A93E6" w16cid:durableId="21AEFA7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D92DC6" w14:textId="77777777" w:rsidR="003F02E6" w:rsidRDefault="003F02E6" w:rsidP="00EC6483">
      <w:pPr>
        <w:spacing w:after="0" w:line="240" w:lineRule="auto"/>
      </w:pPr>
      <w:r>
        <w:separator/>
      </w:r>
    </w:p>
  </w:endnote>
  <w:endnote w:type="continuationSeparator" w:id="0">
    <w:p w14:paraId="29F527D9" w14:textId="77777777" w:rsidR="003F02E6" w:rsidRDefault="003F02E6" w:rsidP="00EC6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FD8AF" w14:textId="48EBEBDC" w:rsidR="00FC68E4" w:rsidRDefault="00FC68E4">
    <w:pPr>
      <w:pStyle w:val="Footer"/>
      <w:jc w:val="right"/>
    </w:pPr>
    <w:r>
      <w:t xml:space="preserve">Updated </w:t>
    </w:r>
    <w:r w:rsidR="00A3783D">
      <w:t>4/2020</w:t>
    </w:r>
    <w:r>
      <w:tab/>
    </w:r>
    <w:r>
      <w:tab/>
    </w:r>
    <w:r>
      <w:tab/>
    </w:r>
    <w:sdt>
      <w:sdtPr>
        <w:id w:val="-164287786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3451E">
          <w:rPr>
            <w:noProof/>
          </w:rPr>
          <w:t>3</w:t>
        </w:r>
        <w:r>
          <w:rPr>
            <w:noProof/>
          </w:rPr>
          <w:fldChar w:fldCharType="end"/>
        </w:r>
      </w:sdtContent>
    </w:sdt>
  </w:p>
  <w:p w14:paraId="39F89D2C" w14:textId="77777777" w:rsidR="00FC68E4" w:rsidRDefault="00FC68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228D35" w14:textId="77777777" w:rsidR="003F02E6" w:rsidRDefault="003F02E6" w:rsidP="00EC6483">
      <w:pPr>
        <w:spacing w:after="0" w:line="240" w:lineRule="auto"/>
      </w:pPr>
      <w:r>
        <w:separator/>
      </w:r>
    </w:p>
  </w:footnote>
  <w:footnote w:type="continuationSeparator" w:id="0">
    <w:p w14:paraId="2AB475F8" w14:textId="77777777" w:rsidR="003F02E6" w:rsidRDefault="003F02E6" w:rsidP="00EC64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045E4" w14:textId="77777777" w:rsidR="00EC6483" w:rsidRDefault="00EC6483">
    <w:pPr>
      <w:pStyle w:val="Header"/>
    </w:pPr>
    <w:r>
      <w:rPr>
        <w:noProof/>
      </w:rPr>
      <mc:AlternateContent>
        <mc:Choice Requires="wps">
          <w:drawing>
            <wp:anchor distT="0" distB="0" distL="118745" distR="118745" simplePos="0" relativeHeight="251659264" behindDoc="1" locked="0" layoutInCell="1" allowOverlap="0" wp14:anchorId="02752250" wp14:editId="62B20D16">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 w:val="32"/>
                              <w:szCs w:val="32"/>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418ECEF7" w14:textId="77777777" w:rsidR="00EC6483" w:rsidRPr="00EC6483" w:rsidRDefault="00FC68E4">
                              <w:pPr>
                                <w:pStyle w:val="Header"/>
                                <w:tabs>
                                  <w:tab w:val="clear" w:pos="4680"/>
                                  <w:tab w:val="clear" w:pos="9360"/>
                                </w:tabs>
                                <w:jc w:val="center"/>
                                <w:rPr>
                                  <w:caps/>
                                  <w:color w:val="FFFFFF" w:themeColor="background1"/>
                                  <w:sz w:val="32"/>
                                  <w:szCs w:val="32"/>
                                </w:rPr>
                              </w:pPr>
                              <w:r>
                                <w:rPr>
                                  <w:caps/>
                                  <w:color w:val="FFFFFF" w:themeColor="background1"/>
                                  <w:sz w:val="32"/>
                                  <w:szCs w:val="32"/>
                                </w:rPr>
                                <w:t xml:space="preserve">POST-TPIAT </w:t>
                              </w:r>
                              <w:r w:rsidR="0020745B">
                                <w:rPr>
                                  <w:caps/>
                                  <w:color w:val="FFFFFF" w:themeColor="background1"/>
                                  <w:sz w:val="32"/>
                                  <w:szCs w:val="32"/>
                                </w:rPr>
                                <w:t>management of thrombocytosis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752250"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sdt>
                    <w:sdtPr>
                      <w:rPr>
                        <w:caps/>
                        <w:color w:val="FFFFFF" w:themeColor="background1"/>
                        <w:sz w:val="32"/>
                        <w:szCs w:val="32"/>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418ECEF7" w14:textId="77777777" w:rsidR="00EC6483" w:rsidRPr="00EC6483" w:rsidRDefault="00FC68E4">
                        <w:pPr>
                          <w:pStyle w:val="Header"/>
                          <w:tabs>
                            <w:tab w:val="clear" w:pos="4680"/>
                            <w:tab w:val="clear" w:pos="9360"/>
                          </w:tabs>
                          <w:jc w:val="center"/>
                          <w:rPr>
                            <w:caps/>
                            <w:color w:val="FFFFFF" w:themeColor="background1"/>
                            <w:sz w:val="32"/>
                            <w:szCs w:val="32"/>
                          </w:rPr>
                        </w:pPr>
                        <w:r>
                          <w:rPr>
                            <w:caps/>
                            <w:color w:val="FFFFFF" w:themeColor="background1"/>
                            <w:sz w:val="32"/>
                            <w:szCs w:val="32"/>
                          </w:rPr>
                          <w:t xml:space="preserve">POST-TPIAT </w:t>
                        </w:r>
                        <w:r w:rsidR="0020745B">
                          <w:rPr>
                            <w:caps/>
                            <w:color w:val="FFFFFF" w:themeColor="background1"/>
                            <w:sz w:val="32"/>
                            <w:szCs w:val="32"/>
                          </w:rPr>
                          <w:t>management of thrombocytosis</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62F39"/>
    <w:multiLevelType w:val="hybridMultilevel"/>
    <w:tmpl w:val="2424067E"/>
    <w:lvl w:ilvl="0" w:tplc="04090001">
      <w:start w:val="1"/>
      <w:numFmt w:val="bullet"/>
      <w:lvlText w:val=""/>
      <w:lvlJc w:val="left"/>
      <w:pPr>
        <w:ind w:left="720" w:hanging="360"/>
      </w:pPr>
      <w:rPr>
        <w:rFonts w:ascii="Symbol" w:hAnsi="Symbol" w:hint="default"/>
      </w:rPr>
    </w:lvl>
    <w:lvl w:ilvl="1" w:tplc="4CA48E64">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350238"/>
    <w:multiLevelType w:val="hybridMultilevel"/>
    <w:tmpl w:val="39DC0FF4"/>
    <w:lvl w:ilvl="0" w:tplc="FA64783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CE7EFC"/>
    <w:multiLevelType w:val="hybridMultilevel"/>
    <w:tmpl w:val="BA2A8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031538"/>
    <w:multiLevelType w:val="hybridMultilevel"/>
    <w:tmpl w:val="7D4C5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503C84"/>
    <w:multiLevelType w:val="hybridMultilevel"/>
    <w:tmpl w:val="63C2A3AA"/>
    <w:lvl w:ilvl="0" w:tplc="CA023302">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B32474"/>
    <w:multiLevelType w:val="hybridMultilevel"/>
    <w:tmpl w:val="40324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6A6BCB"/>
    <w:multiLevelType w:val="hybridMultilevel"/>
    <w:tmpl w:val="702CC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BC5DBC"/>
    <w:multiLevelType w:val="hybridMultilevel"/>
    <w:tmpl w:val="8558F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8C7EC6"/>
    <w:multiLevelType w:val="hybridMultilevel"/>
    <w:tmpl w:val="8682C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9558A7"/>
    <w:multiLevelType w:val="hybridMultilevel"/>
    <w:tmpl w:val="40160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B44C30"/>
    <w:multiLevelType w:val="hybridMultilevel"/>
    <w:tmpl w:val="4972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2F758B"/>
    <w:multiLevelType w:val="hybridMultilevel"/>
    <w:tmpl w:val="0C162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3B6076"/>
    <w:multiLevelType w:val="hybridMultilevel"/>
    <w:tmpl w:val="CD9675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47A3364"/>
    <w:multiLevelType w:val="hybridMultilevel"/>
    <w:tmpl w:val="6E182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2320F6"/>
    <w:multiLevelType w:val="hybridMultilevel"/>
    <w:tmpl w:val="74684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2"/>
  </w:num>
  <w:num w:numId="4">
    <w:abstractNumId w:val="13"/>
  </w:num>
  <w:num w:numId="5">
    <w:abstractNumId w:val="14"/>
  </w:num>
  <w:num w:numId="6">
    <w:abstractNumId w:val="8"/>
  </w:num>
  <w:num w:numId="7">
    <w:abstractNumId w:val="5"/>
  </w:num>
  <w:num w:numId="8">
    <w:abstractNumId w:val="1"/>
  </w:num>
  <w:num w:numId="9">
    <w:abstractNumId w:val="11"/>
  </w:num>
  <w:num w:numId="10">
    <w:abstractNumId w:val="10"/>
  </w:num>
  <w:num w:numId="11">
    <w:abstractNumId w:val="7"/>
  </w:num>
  <w:num w:numId="12">
    <w:abstractNumId w:val="4"/>
  </w:num>
  <w:num w:numId="13">
    <w:abstractNumId w:val="3"/>
  </w:num>
  <w:num w:numId="14">
    <w:abstractNumId w:val="12"/>
  </w:num>
  <w:num w:numId="1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inzman, Christie">
    <w15:presenceInfo w15:providerId="AD" w15:userId="S-1-5-21-2113169553-152591045-318601546-45379"/>
  </w15:person>
  <w15:person w15:author="Luchtman-Jones, Lori">
    <w15:presenceInfo w15:providerId="AD" w15:userId="S::lori.luchtman-jones@cchmc.org::8ea10a8b-de96-48b4-8451-276d959e79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483"/>
    <w:rsid w:val="00034856"/>
    <w:rsid w:val="00060480"/>
    <w:rsid w:val="000D4582"/>
    <w:rsid w:val="000D75F1"/>
    <w:rsid w:val="000E67A7"/>
    <w:rsid w:val="00120F90"/>
    <w:rsid w:val="001703CE"/>
    <w:rsid w:val="001A60F4"/>
    <w:rsid w:val="001A6F9B"/>
    <w:rsid w:val="001B2224"/>
    <w:rsid w:val="0020745B"/>
    <w:rsid w:val="00255806"/>
    <w:rsid w:val="0029015F"/>
    <w:rsid w:val="00303F4E"/>
    <w:rsid w:val="00326D77"/>
    <w:rsid w:val="003F02E6"/>
    <w:rsid w:val="00441E34"/>
    <w:rsid w:val="00445105"/>
    <w:rsid w:val="00446E8A"/>
    <w:rsid w:val="0045778B"/>
    <w:rsid w:val="00490859"/>
    <w:rsid w:val="004D4309"/>
    <w:rsid w:val="005300EE"/>
    <w:rsid w:val="00543926"/>
    <w:rsid w:val="00557072"/>
    <w:rsid w:val="00561116"/>
    <w:rsid w:val="00573798"/>
    <w:rsid w:val="00586D03"/>
    <w:rsid w:val="00664E3E"/>
    <w:rsid w:val="006D4448"/>
    <w:rsid w:val="006E17A2"/>
    <w:rsid w:val="006E468E"/>
    <w:rsid w:val="006F1E04"/>
    <w:rsid w:val="006F76B6"/>
    <w:rsid w:val="00730D84"/>
    <w:rsid w:val="00741F10"/>
    <w:rsid w:val="007B44A5"/>
    <w:rsid w:val="00847A84"/>
    <w:rsid w:val="008D0F7B"/>
    <w:rsid w:val="009670F8"/>
    <w:rsid w:val="00983CE8"/>
    <w:rsid w:val="009E6671"/>
    <w:rsid w:val="00A00974"/>
    <w:rsid w:val="00A22554"/>
    <w:rsid w:val="00A3783D"/>
    <w:rsid w:val="00A839F8"/>
    <w:rsid w:val="00AC4289"/>
    <w:rsid w:val="00B3451E"/>
    <w:rsid w:val="00B9769E"/>
    <w:rsid w:val="00C15926"/>
    <w:rsid w:val="00C33CF7"/>
    <w:rsid w:val="00C35AA8"/>
    <w:rsid w:val="00C66828"/>
    <w:rsid w:val="00C72B20"/>
    <w:rsid w:val="00CD2902"/>
    <w:rsid w:val="00D221C5"/>
    <w:rsid w:val="00D22298"/>
    <w:rsid w:val="00D95FD2"/>
    <w:rsid w:val="00E3316F"/>
    <w:rsid w:val="00EC6483"/>
    <w:rsid w:val="00F03356"/>
    <w:rsid w:val="00F04B79"/>
    <w:rsid w:val="00F65DAF"/>
    <w:rsid w:val="00FC68E4"/>
    <w:rsid w:val="00FD1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FA066A"/>
  <w15:chartTrackingRefBased/>
  <w15:docId w15:val="{BEA2EA12-7AAB-48B3-8C3A-C664DAF8D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64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6483"/>
  </w:style>
  <w:style w:type="paragraph" w:styleId="Footer">
    <w:name w:val="footer"/>
    <w:basedOn w:val="Normal"/>
    <w:link w:val="FooterChar"/>
    <w:uiPriority w:val="99"/>
    <w:unhideWhenUsed/>
    <w:rsid w:val="00EC64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6483"/>
  </w:style>
  <w:style w:type="paragraph" w:styleId="ListParagraph">
    <w:name w:val="List Paragraph"/>
    <w:basedOn w:val="Normal"/>
    <w:uiPriority w:val="34"/>
    <w:qFormat/>
    <w:rsid w:val="009E6671"/>
    <w:pPr>
      <w:spacing w:after="200" w:line="276" w:lineRule="auto"/>
      <w:ind w:left="720"/>
      <w:contextualSpacing/>
    </w:pPr>
    <w:rPr>
      <w:rFonts w:asciiTheme="minorHAnsi" w:hAnsiTheme="minorHAnsi"/>
      <w:sz w:val="22"/>
    </w:rPr>
  </w:style>
  <w:style w:type="character" w:styleId="Hyperlink">
    <w:name w:val="Hyperlink"/>
    <w:basedOn w:val="DefaultParagraphFont"/>
    <w:uiPriority w:val="99"/>
    <w:unhideWhenUsed/>
    <w:rsid w:val="00983CE8"/>
    <w:rPr>
      <w:color w:val="0563C1" w:themeColor="hyperlink"/>
      <w:u w:val="single"/>
    </w:rPr>
  </w:style>
  <w:style w:type="character" w:styleId="CommentReference">
    <w:name w:val="annotation reference"/>
    <w:basedOn w:val="DefaultParagraphFont"/>
    <w:uiPriority w:val="99"/>
    <w:semiHidden/>
    <w:unhideWhenUsed/>
    <w:rsid w:val="006F1E04"/>
    <w:rPr>
      <w:sz w:val="16"/>
      <w:szCs w:val="16"/>
    </w:rPr>
  </w:style>
  <w:style w:type="paragraph" w:styleId="CommentText">
    <w:name w:val="annotation text"/>
    <w:basedOn w:val="Normal"/>
    <w:link w:val="CommentTextChar"/>
    <w:uiPriority w:val="99"/>
    <w:semiHidden/>
    <w:unhideWhenUsed/>
    <w:rsid w:val="006F1E04"/>
    <w:pPr>
      <w:spacing w:line="240" w:lineRule="auto"/>
    </w:pPr>
    <w:rPr>
      <w:sz w:val="20"/>
      <w:szCs w:val="20"/>
    </w:rPr>
  </w:style>
  <w:style w:type="character" w:customStyle="1" w:styleId="CommentTextChar">
    <w:name w:val="Comment Text Char"/>
    <w:basedOn w:val="DefaultParagraphFont"/>
    <w:link w:val="CommentText"/>
    <w:uiPriority w:val="99"/>
    <w:semiHidden/>
    <w:rsid w:val="006F1E04"/>
    <w:rPr>
      <w:sz w:val="20"/>
      <w:szCs w:val="20"/>
    </w:rPr>
  </w:style>
  <w:style w:type="paragraph" w:styleId="CommentSubject">
    <w:name w:val="annotation subject"/>
    <w:basedOn w:val="CommentText"/>
    <w:next w:val="CommentText"/>
    <w:link w:val="CommentSubjectChar"/>
    <w:uiPriority w:val="99"/>
    <w:semiHidden/>
    <w:unhideWhenUsed/>
    <w:rsid w:val="006F1E04"/>
    <w:rPr>
      <w:b/>
      <w:bCs/>
    </w:rPr>
  </w:style>
  <w:style w:type="character" w:customStyle="1" w:styleId="CommentSubjectChar">
    <w:name w:val="Comment Subject Char"/>
    <w:basedOn w:val="CommentTextChar"/>
    <w:link w:val="CommentSubject"/>
    <w:uiPriority w:val="99"/>
    <w:semiHidden/>
    <w:rsid w:val="006F1E04"/>
    <w:rPr>
      <w:b/>
      <w:bCs/>
      <w:sz w:val="20"/>
      <w:szCs w:val="20"/>
    </w:rPr>
  </w:style>
  <w:style w:type="paragraph" w:styleId="BalloonText">
    <w:name w:val="Balloon Text"/>
    <w:basedOn w:val="Normal"/>
    <w:link w:val="BalloonTextChar"/>
    <w:uiPriority w:val="99"/>
    <w:semiHidden/>
    <w:unhideWhenUsed/>
    <w:rsid w:val="006F1E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E04"/>
    <w:rPr>
      <w:rFonts w:ascii="Segoe UI" w:hAnsi="Segoe UI" w:cs="Segoe UI"/>
      <w:sz w:val="18"/>
      <w:szCs w:val="18"/>
    </w:rPr>
  </w:style>
  <w:style w:type="paragraph" w:styleId="Revision">
    <w:name w:val="Revision"/>
    <w:hidden/>
    <w:uiPriority w:val="99"/>
    <w:semiHidden/>
    <w:rsid w:val="004451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4594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POST-TPIAT management of thrombocytosis</vt:lpstr>
    </vt:vector>
  </TitlesOfParts>
  <Company>Cincinnati Children's Hospital</Company>
  <LinksUpToDate>false</LinksUpToDate>
  <CharactersWithSpaces>5389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POST-TPIAT management of thrombocytosis</dc:title>
  <dc:subject/>
  <dc:creator>Paxton, Lisa</dc:creator>
  <cp:keywords/>
  <dc:description/>
  <cp:lastModifiedBy>Heinzman, Christie</cp:lastModifiedBy>
  <cp:revision>2</cp:revision>
  <cp:lastPrinted>2019-10-29T19:47:00Z</cp:lastPrinted>
  <dcterms:created xsi:type="dcterms:W3CDTF">2020-04-03T14:19:00Z</dcterms:created>
  <dcterms:modified xsi:type="dcterms:W3CDTF">2020-04-03T14:19:00Z</dcterms:modified>
</cp:coreProperties>
</file>